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rPr>
          <w:rStyle w:val="61"/>
        </w:rPr>
        <w:sectPr>
          <w:headerReference r:id="rId5" w:type="first"/>
          <w:footerReference r:id="rId8" w:type="first"/>
          <w:headerReference r:id="rId3" w:type="default"/>
          <w:footerReference r:id="rId6" w:type="default"/>
          <w:headerReference r:id="rId4" w:type="even"/>
          <w:footerReference r:id="rId7" w:type="even"/>
          <w:pgSz w:w="11907" w:h="16839"/>
          <w:pgMar w:top="567" w:right="1418" w:bottom="1418" w:left="1134" w:header="0" w:footer="0" w:gutter="0"/>
          <w:pgNumType w:start="1"/>
          <w:cols w:space="720" w:num="1"/>
          <w:titlePg/>
          <w:docGrid w:linePitch="312" w:charSpace="0"/>
        </w:sectPr>
      </w:pPr>
      <w:bookmarkStart w:id="0" w:name="SectionMark0"/>
      <w:bookmarkStart w:id="1" w:name="SectionMark2"/>
      <w:r>
        <w:rPr>
          <w:rStyle w:val="61"/>
        </w:rPr>
        <mc:AlternateContent>
          <mc:Choice Requires="wps">
            <w:drawing>
              <wp:anchor distT="0" distB="0" distL="114300" distR="114300" simplePos="0" relativeHeight="251669504" behindDoc="0" locked="0" layoutInCell="1" allowOverlap="1">
                <wp:simplePos x="0" y="0"/>
                <wp:positionH relativeFrom="column">
                  <wp:posOffset>4866640</wp:posOffset>
                </wp:positionH>
                <wp:positionV relativeFrom="paragraph">
                  <wp:posOffset>8861425</wp:posOffset>
                </wp:positionV>
                <wp:extent cx="733425" cy="396240"/>
                <wp:effectExtent l="0" t="0" r="9525" b="3810"/>
                <wp:wrapNone/>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pPr>
                              <w:rPr>
                                <w:sz w:val="28"/>
                                <w:szCs w:val="28"/>
                              </w:rPr>
                            </w:pPr>
                            <w:r>
                              <w:rPr>
                                <w:rStyle w:val="17"/>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83.2pt;margin-top:697.75pt;height:31.2pt;width:57.75pt;z-index:251669504;mso-width-relative:page;mso-height-relative:page;" fillcolor="#FFFFFF" filled="t" stroked="t" coordsize="21600,21600" o:gfxdata="UEsDBAoAAAAAAIdO4kAAAAAAAAAAAAAAAAAEAAAAZHJzL1BLAwQUAAAACACHTuJAO5CNDdoAAAAN&#10;AQAADwAAAGRycy9kb3ducmV2LnhtbE2PTU+EMBCG7yb+h2ZMvLkFBRaQsokrxouHddX7bBmBSFtC&#10;u1/+eseTHmfeJ+88U61OZhQHmv3grIJ4EYEgq1072E7B+9vTTQ7CB7Qtjs6SgjN5WNWXFxWWrTva&#10;VzpsQye4xPoSFfQhTKWUXvdk0C/cRJazTzcbDDzOnWxnPHK5GeVtFGXS4GD5Qo8TrXvSX9u9UbBB&#10;fNx8P2v90JxfkobWHw25Uanrqzi6BxHoFP5g+NVndajZaef2tvViVLDMsoRRDu6KNAXBSJ7HBYgd&#10;r5J0WYCsK/n/i/oHUEsDBBQAAAAIAIdO4kBy+/n+MgIAAHkEAAAOAAAAZHJzL2Uyb0RvYy54bWyt&#10;VF1u1DAQfkfiDpbfaXa325+Nmq2qVkVIBSoVDuA4TmJhe8zYu0m5DBJvPQTHQVyDiZMuS3mpEHmI&#10;PJnx5+/7Zpyz894atlUYNLiCzw9mnCknodKuKfjHD9evTjkLUbhKGHCq4Pcq8PP1yxdnnc/VAlow&#10;lUJGIC7knS94G6PPsyzIVlkRDsArR8ka0IpIITZZhaIjdGuyxWx2nHWAlUeQKgT6ejUm+YSIzwGE&#10;utZSXYHcWOXiiIrKiEiSQqt94OvEtq6VjO/rOqjITMFJaUxvOoTW5fDO1mcib1D4VsuJgngOhSea&#10;rNCODt1BXYko2Ab1X1BWS4QAdTyQYLNRSHKEVMxnT7y5a4VXSQtZHfzO9PD/YOW77S0yXRWc2u6E&#10;pYb//Prw4/s3djp40/mQU8mdv8VBXfA3ID8F5uCyFa5RF4jQtUpUxGg+1Gd/bBiCQFtZ2b2FiqDF&#10;JkKyqa/RDoBkAOtTN+533VB9ZJI+nhweLhdHnElKHa6OF8vUrUzkj5s9hvhagWXDouBIzU7gYnsT&#10;4kBG5I8liTwYXV1rY1KATXlpkG0FDcZ1ehJ/0rhfZhzrCr46Ih7/CmF1pPtitCWLZ8MznWPcZNfg&#10;0Oh07Mt+Mr2E6p6MQxgnlu4rLVrAL5x1NK0FD583AhVn5o0j81fzJdnDYgqWRycLCnA/U+5nhJME&#10;VfDI2bi8jOOV2HjUTUsnzZNcBxfUsFonM4dmjqwm3jSRyePp9gwjvx+nqt9/jP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5CNDdoAAAANAQAADwAAAAAAAAABACAAAAAiAAAAZHJzL2Rvd25yZXYu&#10;eG1sUEsBAhQAFAAAAAgAh07iQHL7+f4yAgAAeQQAAA4AAAAAAAAAAQAgAAAAKQEAAGRycy9lMm9E&#10;b2MueG1sUEsFBgAAAAAGAAYAWQEAAM0FAAAAAA==&#10;">
                <v:fill on="t" focussize="0,0"/>
                <v:stroke color="#FFFFFF" miterlimit="8" joinstyle="miter"/>
                <v:imagedata o:title=""/>
                <o:lock v:ext="edit" aspectratio="f"/>
                <v:textbox>
                  <w:txbxContent>
                    <w:p>
                      <w:pPr>
                        <w:rPr>
                          <w:sz w:val="28"/>
                          <w:szCs w:val="28"/>
                        </w:rPr>
                      </w:pPr>
                      <w:r>
                        <w:rPr>
                          <w:rStyle w:val="17"/>
                          <w:rFonts w:hint="eastAsia"/>
                          <w:szCs w:val="28"/>
                        </w:rPr>
                        <w:t>发布</w:t>
                      </w:r>
                    </w:p>
                  </w:txbxContent>
                </v:textbox>
              </v:rect>
            </w:pict>
          </mc:Fallback>
        </mc:AlternateContent>
      </w:r>
      <w:r>
        <w:rPr>
          <w:rStyle w:val="61"/>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8617585</wp:posOffset>
                </wp:positionV>
                <wp:extent cx="6121400" cy="0"/>
                <wp:effectExtent l="0" t="0" r="0" b="0"/>
                <wp:wrapNone/>
                <wp:docPr id="11" name="Line 1145"/>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Line 1145" o:spid="_x0000_s1026" o:spt="20" style="position:absolute;left:0pt;margin-left:0pt;margin-top:678.55pt;height:0pt;width:482pt;z-index:251668480;mso-width-relative:page;mso-height-relative:page;" filled="f" stroked="t" coordsize="21600,21600" o:gfxdata="UEsDBAoAAAAAAIdO4kAAAAAAAAAAAAAAAAAEAAAAZHJzL1BLAwQUAAAACACHTuJApWzTs9QAAAAK&#10;AQAADwAAAGRycy9kb3ducmV2LnhtbE2PQUvDQBCF7wX/wzKCl2J3o221MZuCguDVWhBv2+w0CWZn&#10;Q3aa1H/veBA9zvceb94rtufQqRGH1EaykC0MKKQq+pZqC/u35+t7UIkdeddFQgtfmGBbXswKl/s4&#10;0SuOO66VhFDKnYWGuc+1TlWDwaVF7JFEO8YhOJZzqLUf3CThodM3xqx1cC3Jh8b1+NRg9bk7BQvT&#10;+4uuPjZzE1bjnvXRLB9NiNZeXWbmARTjmf/M8FNfqkMpnQ7xRD6pzoIMYaG3q7sMlOib9VLQ4Rfp&#10;stD/J5TfUEsDBBQAAAAIAIdO4kAd8cIQzAEAAKQDAAAOAAAAZHJzL2Uyb0RvYy54bWytU01v2zAM&#10;vQ/YfxB0X2wHXRcYcXpI0F2yLUC7H6DIsi1MEgVKiZ1/P0r56JZdepgPgiiSj3yP9PJpsoYdFQYN&#10;ruHVrORMOQmtdn3Df74+f1pwFqJwrTDgVMNPKvCn1ccPy9HXag4DmFYhIxAX6tE3fIjR10UR5KCs&#10;CDPwypGzA7Qikol90aIYCd2aYl6Wj8UI2HoEqUKg183ZyS+I+B5A6Dot1QbkwSoXz6iojIhEKQza&#10;B77K3XadkvFH1wUVmWk4MY35pCJ036ezWC1F3aPwg5aXFsR7WrjjZIV2VPQGtRFRsAPqf6CslggB&#10;ujiTYIszkawIsajKO21eBuFV5kJSB38TPfw/WPn9uEOmW9qEijMnLE18q51iVfXwOakz+lBT0Nrt&#10;MPGTk3vxW5C/AnOwHoTrVe7y9eQps0oZxV8pyQieauzHb9BSjDhEyFJNHdoESSKwKU/kdJuImiKT&#10;9PhYzauHkoYlr75C1NdEjyF+VWBZujTcUNsZWBy3IaZGRH0NSXUcPGtj8sCNYyN1O/9C0MkVwOg2&#10;ebOB/X5tkB0F7cyipG+Rad2FIRxce65i3IV1InqWbA/taYdXNWh4uZ3LoqXt+NPO2W8/1+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WzTs9QAAAAKAQAADwAAAAAAAAABACAAAAAiAAAAZHJzL2Rv&#10;d25yZXYueG1sUEsBAhQAFAAAAAgAh07iQB3xwhDMAQAApAMAAA4AAAAAAAAAAQAgAAAAIwEAAGRy&#10;cy9lMm9Eb2MueG1sUEsFBgAAAAAGAAYAWQEAAGEFAAAAAA==&#10;">
                <v:fill on="f" focussize="0,0"/>
                <v:stroke weight="1pt" color="#800008" joinstyle="round"/>
                <v:imagedata o:title=""/>
                <o:lock v:ext="edit" aspectratio="f"/>
              </v:line>
            </w:pict>
          </mc:Fallback>
        </mc:AlternateContent>
      </w:r>
      <w:r>
        <w:rPr>
          <w:rStyle w:val="6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2272665</wp:posOffset>
                </wp:positionV>
                <wp:extent cx="6121400" cy="0"/>
                <wp:effectExtent l="0" t="0" r="0" b="0"/>
                <wp:wrapNone/>
                <wp:docPr id="10" name="Line 1144"/>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Line 1144" o:spid="_x0000_s1026" o:spt="20" style="position:absolute;left:0pt;margin-left:0pt;margin-top:178.95pt;height:0pt;width:482pt;z-index:251667456;mso-width-relative:page;mso-height-relative:page;" filled="f" stroked="t" coordsize="21600,21600" o:gfxdata="UEsDBAoAAAAAAIdO4kAAAAAAAAAAAAAAAAAEAAAAZHJzL1BLAwQUAAAACACHTuJAaJQR4dQAAAAI&#10;AQAADwAAAGRycy9kb3ducmV2LnhtbE2PQUvDQBCF7wX/wzKCl2J3q201MZOCguDVWhBv2+w0CWZn&#10;Q3ab1H/vCIIe573Hm+8V27Pv1EhDbAMjLBcGFHEVXMs1wv7t+foeVEyWne0CE8IXRdiWF7PC5i5M&#10;/ErjLtVKSjjmFqFJqc+1jlVD3sZF6InFO4bB2yTnUGs32EnKfadvjNlob1uWD43t6amh6nN38gjT&#10;+4uuPrK58etxn/TRrB6ND4hXl0vzACrROf2F4Qdf0KEUpkM4sYuqQ5AhCeF2fZeBEjvbrEQ5/Cq6&#10;LPT/AeU3UEsDBBQAAAAIAIdO4kCKyLsbywEAAKQDAAAOAAAAZHJzL2Uyb0RvYy54bWytU8GO2yAQ&#10;vVfqPyDuje0o2kZWnD0k2l7SNtJuP2CCsY0KDAISJ3/fASdpm172UB8QwzBv3nuDV89no9lJ+qDQ&#10;NryalZxJK7BVtm/4j7eXT0vOQgTbgkYrG36RgT+vP35Yja6WcxxQt9IzArGhHl3DhxhdXRRBDNJA&#10;mKGTlpIdegORQt8XrYeR0I0u5mX5VIzoW+dRyBDodDsl+RXRvwcQu04JuUVxNNLGCdVLDZEkhUG5&#10;wNeZbddJEb93XZCR6YaT0phXakL7Q1qL9Qrq3oMblLhSgPdQeNBkQFlqeofaQgR29OofKKOEx4Bd&#10;nAk0xSQkO0IqqvLBm9cBnMxayOrg7qaH/wcrvp32nqmWXgJZYsHQxHfKSlZVi0VyZ3Shpksbu/dJ&#10;nzjbV7dD8TMwi5sBbC8zy7eLo8oqVRR/laQgOOpxGL9iS3fgGDFbde68SZBkAjvniVzuE5HnyAQd&#10;PlXzalESM3HLFVDfCp0P8YtEw9Km4ZpoZ2A47UJMRKC+XUl9LL4orfPAtWUjsZ1/JuiUCqhVm7I5&#10;8P1hoz07Ab2ZZUnfMst6uObxaNupi7ZX1UnoZNkB28ve39yg4WU614eWXsefca7+/XOt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lBHh1AAAAAgBAAAPAAAAAAAAAAEAIAAAACIAAABkcnMvZG93&#10;bnJldi54bWxQSwECFAAUAAAACACHTuJAisi7G8sBAACkAwAADgAAAAAAAAABACAAAAAjAQAAZHJz&#10;L2Uyb0RvYy54bWxQSwUGAAAAAAYABgBZAQAAYAUAAAAA&#10;">
                <v:fill on="f" focussize="0,0"/>
                <v:stroke weight="1pt" color="#800008" joinstyle="round"/>
                <v:imagedata o:title=""/>
                <o:lock v:ext="edit" aspectratio="f"/>
              </v:line>
            </w:pict>
          </mc:Fallback>
        </mc:AlternateContent>
      </w:r>
      <w:r>
        <w:rPr>
          <w:rStyle w:val="61"/>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8717280</wp:posOffset>
                </wp:positionV>
                <wp:extent cx="6120130" cy="754380"/>
                <wp:effectExtent l="0" t="0" r="0"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pPr>
                              <w:pStyle w:val="31"/>
                              <w:spacing w:before="120" w:beforeLines="50" w:line="400" w:lineRule="exact"/>
                              <w:ind w:firstLine="1469" w:firstLineChars="284"/>
                              <w:jc w:val="both"/>
                              <w:rPr>
                                <w:rFonts w:ascii="黑体" w:eastAsia="黑体"/>
                                <w:spacing w:val="98"/>
                                <w:w w:val="100"/>
                                <w:sz w:val="32"/>
                                <w:szCs w:val="32"/>
                              </w:rPr>
                            </w:pPr>
                            <w:r>
                              <w:rPr>
                                <w:rFonts w:hint="eastAsia" w:ascii="黑体" w:eastAsia="黑体"/>
                                <w:spacing w:val="98"/>
                                <w:w w:val="100"/>
                                <w:sz w:val="32"/>
                                <w:szCs w:val="32"/>
                              </w:rPr>
                              <w:t>国家市场监督管理总局</w:t>
                            </w:r>
                          </w:p>
                          <w:p>
                            <w:pPr>
                              <w:pStyle w:val="31"/>
                              <w:spacing w:before="120" w:beforeLines="50" w:line="400" w:lineRule="exact"/>
                              <w:ind w:firstLine="1469" w:firstLineChars="284"/>
                              <w:jc w:val="both"/>
                              <w:rPr>
                                <w:spacing w:val="98"/>
                                <w:w w:val="100"/>
                                <w:sz w:val="30"/>
                                <w:szCs w:val="30"/>
                              </w:rPr>
                            </w:pPr>
                            <w:r>
                              <w:rPr>
                                <w:rFonts w:hint="eastAsia" w:ascii="黑体" w:eastAsia="黑体"/>
                                <w:spacing w:val="98"/>
                                <w:w w:val="100"/>
                                <w:sz w:val="32"/>
                                <w:szCs w:val="32"/>
                              </w:rPr>
                              <w:t>国家标准化管理委员会</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686.4pt;height:59.4pt;width:481.9pt;mso-position-horizontal-relative:margin;mso-position-vertical-relative:margin;z-index:251666432;mso-width-relative:page;mso-height-relative:page;" fillcolor="#FFFFFF" filled="t" stroked="f" coordsize="21600,21600" o:gfxdata="UEsDBAoAAAAAAIdO4kAAAAAAAAAAAAAAAAAEAAAAZHJzL1BLAwQUAAAACACHTuJAmNTkXtgAAAAK&#10;AQAADwAAAGRycy9kb3ducmV2LnhtbE2PQU/DMAyF70j8h8hIXNCWtkNlK00nscENDhvTzl4T2orG&#10;qZJ03f495gQ3+z3r+Xvl+mJ7cTY+dI4UpPMEhKHa6Y4aBYfPt9kSRIhIGntHRsHVBFhXtzclFtpN&#10;tDPnfWwEh1AoUEEb41BIGerWWAxzNxhi78t5i5FX30jtceJw28ssSXJpsSP+0OJgNq2pv/ejVZBv&#10;/TjtaPOwPby+48fQZMeX61Gp+7s0eQYRzSX+HcMvPqNDxUwnN5IOolfARSKri6eMG7C/yhc8nFh6&#10;XKU5yKqU/ytUP1BLAwQUAAAACACHTuJALHPQQyACAAAuBAAADgAAAGRycy9lMm9Eb2MueG1srVPN&#10;jtMwEL4j8Q6W7zTtLmxXUdPV0qoIafmRFh7AdZzEwvGYsdukPAC8wZ64cOe5+hyMnbasymUP5BCN&#10;7ZnP833zeXbTt4ZtFXoNtuCT0ZgzZSWU2tYF//xp9eKaMx+ELYUBqwq+U57fzJ8/m3UuVxfQgCkV&#10;MgKxPu9cwZsQXJ5lXjaqFX4ETlk6rABbEWiJdVai6Ai9NdnFeHyVdYClQ5DKe9pdDof8gIhPAYSq&#10;0lItQW5aZcOAisqIQJR8o53n89RtVSkZPlSVV4GZghPTkP50CcXr+M/mM5HXKFyj5aEF8ZQWzji1&#10;Qlu69AS1FEGwDep/oFotETxUYSShzQYiSRFiMRmfaXPfCKcSF5Lau5Po/v/Byvfbj8h0WfApZ1a0&#10;NPD9w4/9z9/7X9/ZNMrTOZ9T1r2jvNC/hp5Mk6h6dwfyi2cWFo2wtbpFhK5RoqT2JrEye1Q64PgI&#10;su7eQUn3iE2ABNRX2EbtSA1G6DSa3Wk0qg9M0ubVhPS5pCNJZ9NXLy+v0+wykR+rHfrwRkHLYlBw&#10;pNEndLG98yF2I/JjSrzMg9HlShuTFlivFwbZVpBNVulLBM7SjI3JFmLZgBh3Es3IbOAY+nV/kG0N&#10;5Y4IIwy2o0dHQQP4jbOOLFdw/3UjUHFm3loSLfrzGOAxWB8DYSWVFjxwNoSLMPh441DXDSEPY7Fw&#10;S8JWOnGOExi6OPRJNkpSHCwfffp4nbL+PvP5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jU5F7Y&#10;AAAACgEAAA8AAAAAAAAAAQAgAAAAIgAAAGRycy9kb3ducmV2LnhtbFBLAQIUABQAAAAIAIdO4kAs&#10;c9BDIAIAAC4EAAAOAAAAAAAAAAEAIAAAACcBAABkcnMvZTJvRG9jLnhtbFBLBQYAAAAABgAGAFkB&#10;AAC5BQAAAAA=&#10;">
                <v:fill on="t" focussize="0,0"/>
                <v:stroke on="f"/>
                <v:imagedata o:title=""/>
                <o:lock v:ext="edit" aspectratio="f"/>
                <v:textbox inset="0mm,0mm,0mm,0mm">
                  <w:txbxContent>
                    <w:p>
                      <w:pPr>
                        <w:pStyle w:val="31"/>
                        <w:spacing w:before="120" w:beforeLines="50" w:line="400" w:lineRule="exact"/>
                        <w:ind w:firstLine="1469" w:firstLineChars="284"/>
                        <w:jc w:val="both"/>
                        <w:rPr>
                          <w:rFonts w:ascii="黑体" w:eastAsia="黑体"/>
                          <w:spacing w:val="98"/>
                          <w:w w:val="100"/>
                          <w:sz w:val="32"/>
                          <w:szCs w:val="32"/>
                        </w:rPr>
                      </w:pPr>
                      <w:r>
                        <w:rPr>
                          <w:rFonts w:hint="eastAsia" w:ascii="黑体" w:eastAsia="黑体"/>
                          <w:spacing w:val="98"/>
                          <w:w w:val="100"/>
                          <w:sz w:val="32"/>
                          <w:szCs w:val="32"/>
                        </w:rPr>
                        <w:t>国家市场监督管理总局</w:t>
                      </w:r>
                    </w:p>
                    <w:p>
                      <w:pPr>
                        <w:pStyle w:val="31"/>
                        <w:spacing w:before="120" w:beforeLines="50" w:line="400" w:lineRule="exact"/>
                        <w:ind w:firstLine="1469" w:firstLineChars="284"/>
                        <w:jc w:val="both"/>
                        <w:rPr>
                          <w:spacing w:val="98"/>
                          <w:w w:val="100"/>
                          <w:sz w:val="30"/>
                          <w:szCs w:val="30"/>
                        </w:rPr>
                      </w:pPr>
                      <w:r>
                        <w:rPr>
                          <w:rFonts w:hint="eastAsia" w:ascii="黑体" w:eastAsia="黑体"/>
                          <w:spacing w:val="98"/>
                          <w:w w:val="100"/>
                          <w:sz w:val="32"/>
                          <w:szCs w:val="32"/>
                        </w:rPr>
                        <w:t>国家标准化管理委员会</w:t>
                      </w:r>
                    </w:p>
                  </w:txbxContent>
                </v:textbox>
                <w10:anchorlock/>
              </v:shape>
            </w:pict>
          </mc:Fallback>
        </mc:AlternateContent>
      </w:r>
      <w:r>
        <w:rPr>
          <w:rStyle w:val="61"/>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8321040</wp:posOffset>
                </wp:positionV>
                <wp:extent cx="2019300" cy="297180"/>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pPr>
                              <w:pStyle w:val="36"/>
                              <w:rPr>
                                <w:rFonts w:ascii="黑体" w:hAnsi="黑体"/>
                              </w:rPr>
                            </w:pPr>
                            <w:r>
                              <w:rPr>
                                <w:rFonts w:hint="eastAsia" w:ascii="黑体" w:hAnsi="黑体"/>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22.9pt;margin-top:655.2pt;height:23.4pt;width:159pt;mso-position-horizontal-relative:margin;mso-position-vertical-relative:margin;z-index:251665408;mso-width-relative:page;mso-height-relative:page;" fillcolor="#FFFFFF" filled="t" stroked="f" coordsize="21600,21600" o:gfxdata="UEsDBAoAAAAAAIdO4kAAAAAAAAAAAAAAAAAEAAAAZHJzL1BLAwQUAAAACACHTuJAbZDKO9oAAAAN&#10;AQAADwAAAGRycy9kb3ducmV2LnhtbE2PwW7CMBBE75X6D9ZW6qUqdgIEmsZBKrQ3eoAiziZ2k6jx&#10;OrIdAn/f5dQed2Y0+6ZYXWzHzsaH1qGEZCKAGaycbrGWcPj6eF4CC1GhVp1DI+FqAqzK+7tC5dqN&#10;uDPnfawZlWDIlYQmxj7nPFSNsSpMXG+QvG/nrYp0+pprr0Yqtx1Phci4VS3Sh0b1Zt2Y6mc/WAnZ&#10;xg/jDtdPm8P7Vn32dXp8ux6lfHxIxCuwaC7xLww3fEKHkphObkAdWEcdszmhRzKmiZgBo8hLNiXp&#10;dJPmixR4WfD/K8pfUEsDBBQAAAAIAIdO4kAF78ALIAIAAC4EAAAOAAAAZHJzL2Uyb0RvYy54bWyt&#10;U82O0zAQviPxDpbvNG2Rym7UdLW0KkJafqSFB3AdJ7FwPGbsNikPAG/AaS/cea4+B2OnLaty2QM5&#10;RGN75vN833ye3/StYTuFXoMt+GQ05kxZCaW2dcE/f1q/uOLMB2FLYcCqgu+V5zeL58/mncvVFBow&#10;pUJGINbnnSt4E4LLs8zLRrXCj8ApS4cVYCsCLbHOShQdobcmm47Hs6wDLB2CVN7T7mo45EdEfAog&#10;VJWWagVy2yobBlRURgSi5BvtPF+kbqtKyfChqrwKzBScmIb0p0so3sR/tpiLvEbhGi2PLYintHDB&#10;qRXa0qVnqJUIgm1R/wPVaongoQojCW02EEmKEIvJ+EKb+0Y4lbiQ1N6dRff/D1a+331EpsuCzziz&#10;oqWBH37+ODz8Pvz6zmZRns75nLLuHeWF/jX0ZJpE1bs7kF88s7BshK3VLSJ0jRIltTeJldmj0gHH&#10;R5BN9w5KukdsAySgvsI2akdqMEKn0ezPo1F9YJI2SZ3rl2M6knQ2vX41uUqzy0R+qnbowxsFLYtB&#10;wZFGn9DF7s6H2I3ITynxMg9Gl2ttTFpgvVkaZDtBNlmnLxG4SDM2JluIZQNi3Ek0I7OBY+g3/VG2&#10;DZR7Ioww2I4eHQUN4DfOOrJcwf3XrUDFmXlrSbToz1OAp2BzCoSVVFrwwNkQLsPg461DXTeEPIzF&#10;wi0JW+nEOU5g6OLYJ9koSXG0fPTp43XK+vvMF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ZDK&#10;O9oAAAANAQAADwAAAAAAAAABACAAAAAiAAAAZHJzL2Rvd25yZXYueG1sUEsBAhQAFAAAAAgAh07i&#10;QAXvwAsgAgAALgQAAA4AAAAAAAAAAQAgAAAAKQEAAGRycy9lMm9Eb2MueG1sUEsFBgAAAAAGAAYA&#10;WQEAALsFAAAAAA==&#10;">
                <v:fill on="t" focussize="0,0"/>
                <v:stroke on="f"/>
                <v:imagedata o:title=""/>
                <o:lock v:ext="edit" aspectratio="f"/>
                <v:textbox inset="0mm,0mm,0mm,0mm">
                  <w:txbxContent>
                    <w:p>
                      <w:pPr>
                        <w:pStyle w:val="36"/>
                        <w:rPr>
                          <w:rFonts w:ascii="黑体" w:hAnsi="黑体"/>
                        </w:rPr>
                      </w:pPr>
                      <w:r>
                        <w:rPr>
                          <w:rFonts w:hint="eastAsia" w:ascii="黑体" w:hAnsi="黑体"/>
                        </w:rPr>
                        <w:t>××××-××-××实施</w:t>
                      </w:r>
                    </w:p>
                  </w:txbxContent>
                </v:textbox>
                <w10:anchorlock/>
              </v:shape>
            </w:pict>
          </mc:Fallback>
        </mc:AlternateContent>
      </w:r>
      <w:r>
        <w:rPr>
          <w:rStyle w:val="61"/>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8321040</wp:posOffset>
                </wp:positionV>
                <wp:extent cx="2019300" cy="297180"/>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pPr>
                              <w:pStyle w:val="37"/>
                              <w:rPr>
                                <w:rFonts w:ascii="黑体" w:hAnsi="黑体"/>
                              </w:rPr>
                            </w:pPr>
                            <w:r>
                              <w:rPr>
                                <w:rFonts w:hint="eastAsia" w:ascii="黑体" w:hAnsi="黑体"/>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655.2pt;height:23.4pt;width:159pt;mso-position-horizontal-relative:margin;mso-position-vertical-relative:margin;z-index:251664384;mso-width-relative:page;mso-height-relative:page;" fillcolor="#FFFFFF" filled="t" stroked="f" coordsize="21600,21600" o:gfxdata="UEsDBAoAAAAAAIdO4kAAAAAAAAAAAAAAAAAEAAAAZHJzL1BLAwQUAAAACACHTuJAcFuqZNgAAAAK&#10;AQAADwAAAGRycy9kb3ducmV2LnhtbE2PwW7CMBBE75X6D9ZW6qUqTkJLUYiDVGhv5QBFnE28JFHj&#10;dWQ7BP6+y6k97pvR7EyxvNhOnNGH1pGCdJKAQKqcaalWsP/+fJ6DCFGT0Z0jVHDFAMvy/q7QuXEj&#10;bfG8i7XgEAq5VtDE2OdShqpBq8PE9UisnZy3OvLpa2m8HjncdjJLkpm0uiX+0OgeVw1WP7vBKpit&#10;/TBuafW03n986U1fZ4f360Gpx4c0WYCIeIl/ZrjV5+pQcqejG8gE0SngIZHpNE1eQLA+TeeMjjf0&#10;+paBLAv5f0L5C1BLAwQUAAAACACHTuJAszjH+yACAAAuBAAADgAAAGRycy9lMm9Eb2MueG1srVPN&#10;jtMwEL4j8Q6W7zTtooXdqOlqaVWEtPxICw/gOE5i4XjM2G1SHgDegBMX7jxXn4Ox05ZVueyBHKKx&#10;PfN5vm8+z2+GzrCtQq/BFnw2mXKmrIRK26bgnz6un11x5oOwlTBgVcF3yvObxdMn897l6gJaMJVC&#10;RiDW570reBuCy7PMy1Z1wk/AKUuHNWAnAi2xySoUPaF3JruYTl9kPWDlEKTynnZX4yE/IOJjAKGu&#10;tVQrkJtO2TCiojIiECXfauf5InVb10qG93XtVWCm4MQ0pD9dQnEZ/9liLvIGhWu1PLQgHtPCGadO&#10;aEuXnqBWIgi2Qf0PVKclgoc6TCR02UgkKUIsZtMzbe5b4VTiQlJ7dxLd/z9Y+W77AZmuCn7JmRUd&#10;DXz/4/v+5+/9r2/sMsrTO59T1r2jvDC8goFMk6h6dwfys2cWlq2wjbpFhL5VoqL2ZrEye1A64vgI&#10;UvZvoaJ7xCZAAhpq7KJ2pAYjdBrN7jQaNQQmaZPUuX4+pSNJZxfXL2dXaXaZyI/VDn14raBjMSg4&#10;0ugTutje+RC7EfkxJV7mwehqrY1JC2zKpUG2FWSTdfoSgbM0Y2OyhVg2IsadRDMyGzmGoRwOspVQ&#10;7Ygwwmg7enQUtIBfOevJcgX3XzYCFWfmjSXRoj+PAR6D8hgIK6m04IGzMVyG0ccbh7ppCXkci4Vb&#10;ErbWiXOcwNjFoU+yUZLiYPno04frlPX3mS/+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BbqmTY&#10;AAAACgEAAA8AAAAAAAAAAQAgAAAAIgAAAGRycy9kb3ducmV2LnhtbFBLAQIUABQAAAAIAIdO4kCz&#10;OMf7IAIAAC4EAAAOAAAAAAAAAAEAIAAAACcBAABkcnMvZTJvRG9jLnhtbFBLBQYAAAAABgAGAFkB&#10;AAC5BQAAAAA=&#10;">
                <v:fill on="t" focussize="0,0"/>
                <v:stroke on="f"/>
                <v:imagedata o:title=""/>
                <o:lock v:ext="edit" aspectratio="f"/>
                <v:textbox inset="0mm,0mm,0mm,0mm">
                  <w:txbxContent>
                    <w:p>
                      <w:pPr>
                        <w:pStyle w:val="37"/>
                        <w:rPr>
                          <w:rFonts w:ascii="黑体" w:hAnsi="黑体"/>
                        </w:rPr>
                      </w:pPr>
                      <w:r>
                        <w:rPr>
                          <w:rFonts w:hint="eastAsia" w:ascii="黑体" w:hAnsi="黑体"/>
                        </w:rPr>
                        <w:t>××××-××-××发布</w:t>
                      </w:r>
                    </w:p>
                  </w:txbxContent>
                </v:textbox>
                <w10:anchorlock/>
              </v:shape>
            </w:pict>
          </mc:Fallback>
        </mc:AlternateContent>
      </w:r>
      <w:r>
        <w:rPr>
          <w:rStyle w:val="61"/>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393827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pPr>
                              <w:pStyle w:val="43"/>
                            </w:pPr>
                            <w:bookmarkStart w:id="37" w:name="StdName"/>
                            <w:r>
                              <w:rPr>
                                <w:rFonts w:hint="eastAsia"/>
                              </w:rPr>
                              <w:t>洗涤剂中磷含量的测定</w:t>
                            </w:r>
                          </w:p>
                          <w:p>
                            <w:pPr>
                              <w:pStyle w:val="43"/>
                            </w:pPr>
                            <w:r>
                              <w:rPr>
                                <w:rFonts w:hint="eastAsia"/>
                              </w:rPr>
                              <w:t>电感耦合等离子体质谱法</w:t>
                            </w:r>
                          </w:p>
                          <w:bookmarkEnd w:id="37"/>
                          <w:p>
                            <w:pPr>
                              <w:pStyle w:val="68"/>
                              <w:rPr>
                                <w:rFonts w:ascii="Times New Roman" w:eastAsia="黑体"/>
                              </w:rPr>
                            </w:pPr>
                            <w:r>
                              <w:rPr>
                                <w:rFonts w:ascii="黑体" w:hAnsi="黑体" w:eastAsia="黑体"/>
                              </w:rPr>
                              <w:t>Determination of phosphorus content in detergents - Inductively coupled plasma mass spectrometry</w:t>
                            </w:r>
                          </w:p>
                          <w:p>
                            <w:pPr>
                              <w:jc w:val="center"/>
                              <w:rPr>
                                <w:rFonts w:ascii="黑体" w:hAnsi="黑体" w:eastAsia="黑体"/>
                                <w:sz w:val="28"/>
                                <w:szCs w:val="28"/>
                              </w:rPr>
                            </w:pPr>
                          </w:p>
                          <w:p>
                            <w:pPr>
                              <w:pStyle w:val="48"/>
                              <w:rPr>
                                <w:rFonts w:ascii="黑体" w:hAnsi="黑体" w:eastAsia="黑体"/>
                                <w:sz w:val="28"/>
                                <w:szCs w:val="28"/>
                              </w:rPr>
                            </w:pPr>
                            <w:r>
                              <w:rPr>
                                <w:rFonts w:hint="eastAsia" w:ascii="黑体" w:hAnsi="黑体" w:eastAsia="黑体"/>
                                <w:sz w:val="28"/>
                                <w:szCs w:val="28"/>
                              </w:rPr>
                              <w:t>（送审稿）</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286.25pt;height:310.1pt;width:470pt;mso-position-horizontal-relative:margin;mso-position-vertical-relative:margin;z-index:251663360;mso-width-relative:page;mso-height-relative:page;" fillcolor="#FFFFFF" filled="t" stroked="f" coordsize="21600,21600" o:gfxdata="UEsDBAoAAAAAAIdO4kAAAAAAAAAAAAAAAAAEAAAAZHJzL1BLAwQUAAAACACHTuJARI+V19gAAAAJ&#10;AQAADwAAAGRycy9kb3ducmV2LnhtbE2PwW7CMBBE75X6D9ZW6qUqdqICJcRBKrS39gBFnE28JFHj&#10;dRQ7BP6+21M57sxo9k2+urhWnLEPjScNyUSBQCq9bajSsP/+eH4FEaIha1pPqOGKAVbF/V1uMutH&#10;2uJ5FyvBJRQyo6GOscukDGWNzoSJ75DYO/nemchnX0nbm5HLXStTpWbSmYb4Q206XNdY/uwGp2G2&#10;6YdxS+unzf7903x1VXp4ux60fnxI1BJExEv8D8MfPqNDwUxHP5ANotXAQ6KG6TydgmB78aJYOXIu&#10;WaRzkEUubxcUv1BLAwQUAAAACACHTuJAmXHoniMCAAAvBAAADgAAAGRycy9lMm9Eb2MueG1srVPN&#10;jtMwEL4j8Q6W7zRpd1m2UdPV0qoIafmRFh7AcZzGIvGYsdukPAD7Bpy4cOe5+hyMnbasymUP5BCN&#10;7ZnP833zeXbTtw3bKnQaTM7Ho5QzZSSU2qxz/vnT6sU1Z84LU4oGjMr5Tjl+M3/+bNbZTE2ghqZU&#10;yAjEuKyzOa+9t1mSOFmrVrgRWGXosAJshaclrpMSRUfobZNM0vQq6QBLiyCVc7S7HA75ARGfAghV&#10;paVagty0yvgBFVUjPFFytbaOz2O3VaWk/1BVTnnW5JyY+vinSyguwj+Zz0S2RmFrLQ8tiKe0cMap&#10;FdrQpSeopfCCbVD/A9VqieCg8iMJbTIQiYoQi3F6ps19LayKXEhqZ0+iu/8HK99vPyLTZc4vOTOi&#10;pYHvfzzsf/7e//rOLoM8nXUZZd1byvP9a+jJNJGqs3cgvzhmYFELs1a3iNDVSpTU3jhUJo9KBxwX&#10;QIruHZR0j9h4iEB9hW3QjtRghE6j2Z1Go3rPJG2+nF5N05SOJJ1dTC+uJ6/i8BKRHcstOv9GQctC&#10;kHOk2Ud4sb1zPrQjsmNKuM1Bo8uVbpq4wHWxaJBtBflkFb/I4CytMSHZQCgbEMNO5BmoDSR9X/QH&#10;3Qood8QYYfAdvToKasBvnHXkuZy7rxuBirPmrSHVgkGPAR6D4hgII6k0556zIVz4wcgbi3pdE/Iw&#10;FwO3pGylI+cwgqGLQ5/koyjFwfPBqI/XMevvO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SP&#10;ldfYAAAACQEAAA8AAAAAAAAAAQAgAAAAIgAAAGRycy9kb3ducmV2LnhtbFBLAQIUABQAAAAIAIdO&#10;4kCZceieIwIAAC8EAAAOAAAAAAAAAAEAIAAAACcBAABkcnMvZTJvRG9jLnhtbFBLBQYAAAAABgAG&#10;AFkBAAC8BQAAAAA=&#10;">
                <v:fill on="t" focussize="0,0"/>
                <v:stroke on="f"/>
                <v:imagedata o:title=""/>
                <o:lock v:ext="edit" aspectratio="f"/>
                <v:textbox inset="0mm,0mm,0mm,0mm">
                  <w:txbxContent>
                    <w:p>
                      <w:pPr>
                        <w:pStyle w:val="43"/>
                      </w:pPr>
                      <w:bookmarkStart w:id="37" w:name="StdName"/>
                      <w:r>
                        <w:rPr>
                          <w:rFonts w:hint="eastAsia"/>
                        </w:rPr>
                        <w:t>洗涤剂中磷含量的测定</w:t>
                      </w:r>
                    </w:p>
                    <w:p>
                      <w:pPr>
                        <w:pStyle w:val="43"/>
                      </w:pPr>
                      <w:r>
                        <w:rPr>
                          <w:rFonts w:hint="eastAsia"/>
                        </w:rPr>
                        <w:t>电感耦合等离子体质谱法</w:t>
                      </w:r>
                    </w:p>
                    <w:bookmarkEnd w:id="37"/>
                    <w:p>
                      <w:pPr>
                        <w:pStyle w:val="68"/>
                        <w:rPr>
                          <w:rFonts w:ascii="Times New Roman" w:eastAsia="黑体"/>
                        </w:rPr>
                      </w:pPr>
                      <w:r>
                        <w:rPr>
                          <w:rFonts w:ascii="黑体" w:hAnsi="黑体" w:eastAsia="黑体"/>
                        </w:rPr>
                        <w:t>Determination of phosphorus content in detergents - Inductively coupled plasma mass spectrometry</w:t>
                      </w:r>
                    </w:p>
                    <w:p>
                      <w:pPr>
                        <w:jc w:val="center"/>
                        <w:rPr>
                          <w:rFonts w:ascii="黑体" w:hAnsi="黑体" w:eastAsia="黑体"/>
                          <w:sz w:val="28"/>
                          <w:szCs w:val="28"/>
                        </w:rPr>
                      </w:pPr>
                    </w:p>
                    <w:p>
                      <w:pPr>
                        <w:pStyle w:val="48"/>
                        <w:rPr>
                          <w:rFonts w:ascii="黑体" w:hAnsi="黑体" w:eastAsia="黑体"/>
                          <w:sz w:val="28"/>
                          <w:szCs w:val="28"/>
                        </w:rPr>
                      </w:pPr>
                      <w:r>
                        <w:rPr>
                          <w:rFonts w:hint="eastAsia" w:ascii="黑体" w:hAnsi="黑体" w:eastAsia="黑体"/>
                          <w:sz w:val="28"/>
                          <w:szCs w:val="28"/>
                        </w:rPr>
                        <w:t>（送审稿）</w:t>
                      </w:r>
                    </w:p>
                  </w:txbxContent>
                </v:textbox>
                <w10:anchorlock/>
              </v:shape>
            </w:pict>
          </mc:Fallback>
        </mc:AlternateContent>
      </w:r>
      <w:r>
        <w:rPr>
          <w:rStyle w:val="61"/>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1783080</wp:posOffset>
                </wp:positionV>
                <wp:extent cx="5802630" cy="47879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pPr>
                              <w:pStyle w:val="35"/>
                              <w:spacing w:before="0" w:line="360" w:lineRule="exact"/>
                              <w:rPr>
                                <w:rFonts w:eastAsia="黑体"/>
                              </w:rPr>
                            </w:pPr>
                            <w:r>
                              <w:rPr>
                                <w:rFonts w:eastAsia="黑体"/>
                              </w:rPr>
                              <w:t xml:space="preserve">GB/T </w:t>
                            </w:r>
                            <w:r>
                              <w:rPr>
                                <w:rFonts w:ascii="黑体" w:hAnsi="黑体" w:eastAsia="黑体"/>
                              </w:rPr>
                              <w:t>xxxx-xxxx</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140.4pt;height:37.7pt;width:456.9pt;mso-position-horizontal-relative:margin;mso-position-vertical-relative:margin;z-index:251662336;mso-width-relative:page;mso-height-relative:page;" fillcolor="#FFFFFF" filled="t" stroked="f" coordsize="21600,21600" o:gfxdata="UEsDBAoAAAAAAIdO4kAAAAAAAAAAAAAAAAAEAAAAZHJzL1BLAwQUAAAACACHTuJAfYX5l9gAAAAI&#10;AQAADwAAAGRycy9kb3ducmV2LnhtbE2PwU7DMAyG70i8Q2QkLogl7UQ1StNJbHCDw8a0s9eEtqJx&#10;qiZdt7fHO203W7/1+/uK5cl14miH0HrSkMwUCEuVNy3VGnY/n88LECEiGew8WQ1nG2BZ3t8VmBs/&#10;0cYet7EWXEIhRw1NjH0uZaga6zDMfG+Js18/OIy8DrU0A05c7jqZKpVJhy3xhwZ7u2ps9bcdnYZs&#10;PYzThlZP693HF373dbp/P++1fnxI1BuIaE/xegwXfEaHkpkOfiQTRKeBRaKGdKFYgOPXZM7DQcP8&#10;JUtBloW8FSj/AVBLAwQUAAAACACHTuJAkBClCyECAAAuBAAADgAAAGRycy9lMm9Eb2MueG1srVPN&#10;jtMwEL4j8Q6W7zT9gd0SNV0trYqQlh9p4QEcx0ksEo8Zu03KA8AbcOLCnefqczB22rIqlz2QQzS2&#10;Zz7P983nxU3fNmyn0GkwGZ+MxpwpI6HQpsr4p4+bZ3POnBemEA0YlfG9cvxm+fTJorOpmkINTaGQ&#10;EYhxaWczXntv0yRxslatcCOwytBhCdgKT0uskgJFR+htk0zH46ukAywsglTO0e56OORHRHwMIJSl&#10;lmoNctsq4wdUVI3wRMnV2jq+jN2WpZL+fVk65VmTcWLq458uoTgP/2S5EGmFwtZaHlsQj2nhglMr&#10;tKFLz1Br4QXbov4HqtUSwUHpRxLaZCASFSEWk/GFNve1sCpyIamdPYvu/h+sfLf7gEwXGZ9xZkRL&#10;Az/8+H74+fvw6xubBXk661LKureU5/tX0JNpIlVn70B+dszAqhamUreI0NVKFNTeJFQmD0oHHBdA&#10;8u4tFHSP2HqIQH2JbdCO1GCETqPZn0ejes8kbb6Yj6dXMzqSdPb8en79Ms4uEemp2qLzrxW0LAQZ&#10;Rxp9RBe7O+dDNyI9pYTLHDS62OimiQus8lWDbCfIJpv4RQIXaY0JyQZC2YAYdiLNwGzg6Pu8P8qW&#10;Q7EnwgiD7ejRUVADfuWsI8tl3H3ZClScNW8MiRb8eQrwFOSnQBhJpRn3nA3hyg8+3lrUVU3Iw1gM&#10;3JKwpY6cwwSGLo59ko2iFEfLB58+XMesv898+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9hfmX&#10;2AAAAAgBAAAPAAAAAAAAAAEAIAAAACIAAABkcnMvZG93bnJldi54bWxQSwECFAAUAAAACACHTuJA&#10;kBClCyECAAAuBAAADgAAAAAAAAABACAAAAAnAQAAZHJzL2Uyb0RvYy54bWxQSwUGAAAAAAYABgBZ&#10;AQAAugUAAAAA&#10;">
                <v:fill on="t" focussize="0,0"/>
                <v:stroke on="f"/>
                <v:imagedata o:title=""/>
                <o:lock v:ext="edit" aspectratio="f"/>
                <v:textbox inset="0mm,0mm,0mm,0mm">
                  <w:txbxContent>
                    <w:p>
                      <w:pPr>
                        <w:pStyle w:val="35"/>
                        <w:spacing w:before="0" w:line="360" w:lineRule="exact"/>
                        <w:rPr>
                          <w:rFonts w:eastAsia="黑体"/>
                        </w:rPr>
                      </w:pPr>
                      <w:r>
                        <w:rPr>
                          <w:rFonts w:eastAsia="黑体"/>
                        </w:rPr>
                        <w:t xml:space="preserve">GB/T </w:t>
                      </w:r>
                      <w:r>
                        <w:rPr>
                          <w:rFonts w:ascii="黑体" w:hAnsi="黑体" w:eastAsia="黑体"/>
                        </w:rPr>
                        <w:t>xxxx-xxxx</w:t>
                      </w:r>
                    </w:p>
                  </w:txbxContent>
                </v:textbox>
                <w10:anchorlock/>
              </v:shape>
            </w:pict>
          </mc:Fallback>
        </mc:AlternateContent>
      </w:r>
      <w:r>
        <w:rPr>
          <w:rStyle w:val="61"/>
        </w:rPr>
        <w:drawing>
          <wp:anchor distT="0" distB="0" distL="114300" distR="114300" simplePos="0" relativeHeight="251661312" behindDoc="0" locked="1" layoutInCell="1" allowOverlap="1">
            <wp:simplePos x="0" y="0"/>
            <wp:positionH relativeFrom="margin">
              <wp:posOffset>4284345</wp:posOffset>
            </wp:positionH>
            <wp:positionV relativeFrom="margin">
              <wp:posOffset>107315</wp:posOffset>
            </wp:positionV>
            <wp:extent cx="1403350" cy="720090"/>
            <wp:effectExtent l="19050" t="0" r="6350" b="0"/>
            <wp:wrapNone/>
            <wp:docPr id="295" name="HBPicture"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HBPicture" descr="GB"/>
                    <pic:cNvPicPr>
                      <a:picLocks noChangeAspect="1" noChangeArrowheads="1"/>
                    </pic:cNvPicPr>
                  </pic:nvPicPr>
                  <pic:blipFill>
                    <a:blip r:embed="rId16"/>
                    <a:srcRect/>
                    <a:stretch>
                      <a:fillRect/>
                    </a:stretch>
                  </pic:blipFill>
                  <pic:spPr>
                    <a:xfrm>
                      <a:off x="0" y="0"/>
                      <a:ext cx="1403350" cy="720090"/>
                    </a:xfrm>
                    <a:prstGeom prst="rect">
                      <a:avLst/>
                    </a:prstGeom>
                    <a:noFill/>
                    <a:ln w="9525">
                      <a:noFill/>
                      <a:miter lim="800000"/>
                      <a:headEnd/>
                      <a:tailEnd/>
                    </a:ln>
                  </pic:spPr>
                </pic:pic>
              </a:graphicData>
            </a:graphic>
          </wp:anchor>
        </w:drawing>
      </w:r>
      <w:r>
        <w:rPr>
          <w:rStyle w:val="61"/>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52"/>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CZfkdBHwIAAC4EAAAOAAAAZHJzL2Uyb0RvYy54bWytU82O&#10;0zAQviPxDpbvNG1XqiDadLW0KkJafqSFB3AcJ7FwPGbsNikPAG/Aicveea4+B2OnLaty2QM5RGN7&#10;5vN833y+vhk6w3YKvQZb8NlkypmyEiptm4J//rR58ZIzH4SthAGrCr5Xnt8snz+77l2u5tCCqRQy&#10;ArE+713B2xBcnmVetqoTfgJOWTqsATsRaIlNVqHoCb0z2Xw6XWQ9YOUQpPKedtfjIT8i4lMAoa61&#10;VGuQ207ZMKKiMiIQJd9q5/kydVvXSoYPde1VYKbgxDSkP11CcRn/2fJa5A0K12p5bEE8pYULTp3Q&#10;li49Q61FEGyL+h+oTksED3WYSOiykUhShFjMphfa3LfCqcSFpPbuLLr/f7Dy/e4jMl0VfM6ZFR0N&#10;/PDzx+HX78PDdzaP8vTO55R17ygvDK9hINMkqt7dgfzimYVVK2yjbhGhb5WoqL1ZrMwelY44PoKU&#10;/Tuo6B6xDZCAhhq7qB2pwQidRrM/j0YNgUnaXMxInys6knR29Wo2W6TZZSI/VTv04Y2CjsWg4Eij&#10;T+hid+dD7Ebkp5R4mQejq402Ji2wKVcG2U6QTTbpSwQu0oyNyRZi2YgYdxLNyGzkGIZyOMpWQrUn&#10;wgij7ejRUdACfuOsJ8sV3H/dClScmbeWRIv+PAV4CspTIKyk0oIHzsZwFUYfbx3qpiXkcSwWbknY&#10;WifOcQJjF8c+yUZJiqPlo08fr1PW32e+/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DkcF1wAA&#10;AAgBAAAPAAAAAAAAAAEAIAAAACIAAABkcnMvZG93bnJldi54bWxQSwECFAAUAAAACACHTuJAmX5H&#10;QR8CAAAuBAAADgAAAAAAAAABACAAAAAmAQAAZHJzL2Uyb0RvYy54bWxQSwUGAAAAAAYABgBZAQAA&#10;twUAAAAA&#10;">
                <v:fill on="t" focussize="0,0"/>
                <v:stroke on="f"/>
                <v:imagedata o:title=""/>
                <o:lock v:ext="edit" aspectratio="f"/>
                <v:textbox inset="0mm,0mm,0mm,0mm">
                  <w:txbxContent>
                    <w:p>
                      <w:pPr>
                        <w:pStyle w:val="52"/>
                      </w:pPr>
                      <w:r>
                        <w:rPr>
                          <w:rFonts w:hint="eastAsia"/>
                        </w:rPr>
                        <w:t>中华人民共和国国家标准</w:t>
                      </w:r>
                    </w:p>
                  </w:txbxContent>
                </v:textbox>
                <w10:anchorlock/>
              </v:shape>
            </w:pict>
          </mc:Fallback>
        </mc:AlternateContent>
      </w:r>
      <w:r>
        <w:rPr>
          <w:rStyle w:val="61"/>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54"/>
                              <w:rPr>
                                <w:rFonts w:ascii="黑体" w:hAnsi="黑体"/>
                              </w:rPr>
                            </w:pPr>
                            <w:r>
                              <w:rPr>
                                <w:rFonts w:ascii="黑体" w:hAnsi="黑体"/>
                              </w:rPr>
                              <w:t>ICS 71.100.40</w:t>
                            </w:r>
                          </w:p>
                          <w:p>
                            <w:pPr>
                              <w:pStyle w:val="54"/>
                              <w:rPr>
                                <w:rFonts w:ascii="黑体" w:hAnsi="黑体"/>
                              </w:rPr>
                            </w:pPr>
                            <w:r>
                              <w:rPr>
                                <w:rFonts w:ascii="黑体" w:hAnsi="黑体"/>
                              </w:rPr>
                              <w:t>CCS Y43</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GXAF6IfAgAALgQAAA4AAABkcnMvZTJvRG9jLnhtbK1TzY7TMBC+&#10;I/EOlu80bcWWVdV0tbQqQlp+pIUHcBwnsXA8Zuw2KQ8Ab8BpL9x5rj4HY6ct1XLZAzlEY3vm83zf&#10;fF7c9K1hO4Veg835ZDTmTFkJpbZ1zj9/2ry45swHYUthwKqc75XnN8vnzxadm6spNGBKhYxArJ93&#10;LudNCG6eZV42qhV+BE5ZOqwAWxFoiXVWougIvTXZdDyeZR1g6RCk8p5218MhPyLiUwChqrRUa5Db&#10;VtkwoKIyIhAl32jn+TJ1W1VKhg9V5VVgJufENKQ/XUJxEf/ZciHmNQrXaHlsQTylhUecWqEtXXqG&#10;Wosg2Bb1P1CtlggeqjCS0GYDkaQIsZiMH2lz3winEheS2ruz6P7/wcr3u4/IdElO4MyKlgZ++Pnj&#10;8PD78Os7m0R5OufnlHXvKC/0r6GPqZGqd3cgv3hmYdUIW6tbROgaJUpqL1VmF6UDjo8gRfcOSrpH&#10;bAMkoL7CNgKSGozQaTT782hUH5ikzenVyzF9nEk6m129up6l2WVifqp26MMbBS2LQc6RRp/Qxe7O&#10;B+JBqaeU1D0YXW60MWmBdbEyyHaCbLJJX6ROJf4yzdiYbCGWDcdxJ9GMzAaOoS/6o2wFlHsijDDY&#10;jh4dBQ3gN846slzO/detQMWZeWtJtOjPU4CnoDgFwkoqzXngbAhXYfDx1qGuG0IexmLhloStdOIc&#10;JzB0ceyTbJR4HS0ffXq5Tll/n/ny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Xsy+DTAAAABQEA&#10;AA8AAAAAAAAAAQAgAAAAIgAAAGRycy9kb3ducmV2LnhtbFBLAQIUABQAAAAIAIdO4kBlwBeiHwIA&#10;AC4EAAAOAAAAAAAAAAEAIAAAACIBAABkcnMvZTJvRG9jLnhtbFBLBQYAAAAABgAGAFkBAACzBQAA&#10;AAA=&#10;">
                <v:fill on="t" focussize="0,0"/>
                <v:stroke on="f"/>
                <v:imagedata o:title=""/>
                <o:lock v:ext="edit" aspectratio="f"/>
                <v:textbox inset="0mm,0mm,0mm,0mm">
                  <w:txbxContent>
                    <w:p>
                      <w:pPr>
                        <w:pStyle w:val="54"/>
                        <w:rPr>
                          <w:rFonts w:ascii="黑体" w:hAnsi="黑体"/>
                        </w:rPr>
                      </w:pPr>
                      <w:r>
                        <w:rPr>
                          <w:rFonts w:ascii="黑体" w:hAnsi="黑体"/>
                        </w:rPr>
                        <w:t>ICS 71.100.40</w:t>
                      </w:r>
                    </w:p>
                    <w:p>
                      <w:pPr>
                        <w:pStyle w:val="54"/>
                        <w:rPr>
                          <w:rFonts w:ascii="黑体" w:hAnsi="黑体"/>
                        </w:rPr>
                      </w:pPr>
                      <w:r>
                        <w:rPr>
                          <w:rFonts w:ascii="黑体" w:hAnsi="黑体"/>
                        </w:rPr>
                        <w:t>CCS Y43</w:t>
                      </w:r>
                    </w:p>
                  </w:txbxContent>
                </v:textbox>
                <w10:anchorlock/>
              </v:shape>
            </w:pict>
          </mc:Fallback>
        </mc:AlternateContent>
      </w:r>
    </w:p>
    <w:bookmarkEnd w:id="0"/>
    <w:p>
      <w:pPr>
        <w:pStyle w:val="42"/>
        <w:spacing w:before="851" w:after="680"/>
        <w:rPr>
          <w:rFonts w:ascii="Times New Roman"/>
        </w:rPr>
      </w:pPr>
      <w:r>
        <w:rPr>
          <w:rFonts w:ascii="Times New Roman"/>
        </w:rPr>
        <w:t>前    言</w:t>
      </w:r>
    </w:p>
    <w:p>
      <w:pPr>
        <w:pStyle w:val="20"/>
        <w:spacing w:line="276" w:lineRule="auto"/>
        <w:ind w:firstLine="420"/>
        <w:rPr>
          <w:rFonts w:ascii="Times New Roman"/>
          <w:szCs w:val="21"/>
        </w:rPr>
      </w:pPr>
      <w:r>
        <w:rPr>
          <w:rFonts w:ascii="Times New Roman"/>
          <w:szCs w:val="21"/>
        </w:rPr>
        <w:t>本文件按照GB/T 1.1-2020《标准化工作导则  第1部分：标准化文件的结构和起草规则》的规定起草。</w:t>
      </w:r>
    </w:p>
    <w:p>
      <w:pPr>
        <w:pStyle w:val="20"/>
        <w:spacing w:line="276" w:lineRule="auto"/>
        <w:ind w:firstLine="420"/>
        <w:rPr>
          <w:rFonts w:ascii="Times New Roman"/>
          <w:szCs w:val="21"/>
        </w:rPr>
      </w:pPr>
      <w:r>
        <w:rPr>
          <w:rFonts w:ascii="Times New Roman"/>
          <w:szCs w:val="21"/>
        </w:rPr>
        <w:t>本文件由中国轻工业联合会提出。</w:t>
      </w:r>
    </w:p>
    <w:p>
      <w:pPr>
        <w:pStyle w:val="20"/>
        <w:spacing w:line="276" w:lineRule="auto"/>
        <w:ind w:firstLine="420"/>
        <w:rPr>
          <w:rFonts w:ascii="Times New Roman"/>
          <w:szCs w:val="21"/>
        </w:rPr>
      </w:pPr>
      <w:r>
        <w:rPr>
          <w:rFonts w:ascii="Times New Roman"/>
          <w:szCs w:val="21"/>
        </w:rPr>
        <w:t>本文件由全国表面活性剂和洗涤用品标准化技术委员会（SAC/TC272）归口。</w:t>
      </w:r>
    </w:p>
    <w:p>
      <w:pPr>
        <w:pStyle w:val="20"/>
        <w:spacing w:line="276" w:lineRule="auto"/>
        <w:ind w:firstLine="420"/>
        <w:rPr>
          <w:rFonts w:ascii="Times New Roman"/>
          <w:szCs w:val="21"/>
        </w:rPr>
      </w:pPr>
      <w:r>
        <w:rPr>
          <w:rFonts w:ascii="Times New Roman"/>
          <w:szCs w:val="21"/>
        </w:rPr>
        <w:t>本文件起草单位：。</w:t>
      </w:r>
    </w:p>
    <w:p>
      <w:pPr>
        <w:pStyle w:val="20"/>
        <w:spacing w:line="276" w:lineRule="auto"/>
        <w:ind w:firstLine="420"/>
        <w:rPr>
          <w:rFonts w:ascii="Times New Roman"/>
          <w:szCs w:val="21"/>
        </w:rPr>
      </w:pPr>
      <w:r>
        <w:rPr>
          <w:rFonts w:ascii="Times New Roman"/>
          <w:szCs w:val="21"/>
        </w:rPr>
        <w:t>本文件主要起草人：。</w:t>
      </w:r>
    </w:p>
    <w:p>
      <w:pPr>
        <w:pStyle w:val="20"/>
        <w:spacing w:line="276" w:lineRule="auto"/>
        <w:ind w:firstLine="420"/>
        <w:rPr>
          <w:rFonts w:ascii="Times New Roman"/>
          <w:szCs w:val="21"/>
        </w:rPr>
      </w:pPr>
      <w:r>
        <w:rPr>
          <w:rFonts w:ascii="Times New Roman"/>
          <w:szCs w:val="21"/>
        </w:rPr>
        <w:t>本文件为首次发布。</w:t>
      </w:r>
    </w:p>
    <w:p>
      <w:pPr>
        <w:spacing w:line="276" w:lineRule="auto"/>
        <w:rPr>
          <w:rFonts w:ascii="Times New Roman"/>
        </w:rPr>
        <w:sectPr>
          <w:headerReference r:id="rId9" w:type="default"/>
          <w:footerReference r:id="rId11" w:type="default"/>
          <w:headerReference r:id="rId10" w:type="even"/>
          <w:footerReference r:id="rId12" w:type="even"/>
          <w:pgSz w:w="11907" w:h="16839"/>
          <w:pgMar w:top="1418" w:right="1418" w:bottom="1134" w:left="1134" w:header="1418" w:footer="1134" w:gutter="0"/>
          <w:pgNumType w:fmt="upperRoman" w:start="1"/>
          <w:cols w:space="720" w:num="1"/>
          <w:docGrid w:linePitch="462" w:charSpace="0"/>
        </w:sectPr>
      </w:pPr>
    </w:p>
    <w:bookmarkEnd w:id="1"/>
    <w:p>
      <w:pPr>
        <w:jc w:val="center"/>
        <w:rPr>
          <w:rFonts w:ascii="Times New Roman" w:eastAsia="黑体"/>
          <w:sz w:val="32"/>
          <w:szCs w:val="32"/>
        </w:rPr>
      </w:pPr>
      <w:bookmarkStart w:id="2" w:name="SectionMark4"/>
      <w:r>
        <w:rPr>
          <w:rFonts w:ascii="Times New Roman" w:eastAsia="黑体"/>
          <w:sz w:val="32"/>
          <w:szCs w:val="32"/>
        </w:rPr>
        <w:t>洗涤剂中磷含量的测定  电感耦合等离子体质谱法</w:t>
      </w:r>
    </w:p>
    <w:p>
      <w:pPr>
        <w:pStyle w:val="24"/>
        <w:spacing w:before="240" w:beforeLines="100" w:after="240" w:afterLines="100"/>
        <w:outlineLvl w:val="9"/>
        <w:rPr>
          <w:rFonts w:ascii="Times New Roman"/>
          <w:szCs w:val="21"/>
        </w:rPr>
      </w:pPr>
      <w:r>
        <w:rPr>
          <w:rFonts w:ascii="Times New Roman"/>
          <w:szCs w:val="21"/>
        </w:rPr>
        <w:t>1 范围</w:t>
      </w:r>
    </w:p>
    <w:p>
      <w:pPr>
        <w:pStyle w:val="20"/>
        <w:ind w:firstLine="420"/>
        <w:rPr>
          <w:rFonts w:ascii="Times New Roman"/>
          <w:szCs w:val="21"/>
        </w:rPr>
      </w:pPr>
      <w:r>
        <w:rPr>
          <w:rFonts w:ascii="Times New Roman"/>
          <w:szCs w:val="21"/>
        </w:rPr>
        <w:t>本文件规定了洗涤剂中磷含量的测定电感耦合等离子体质谱法的试验方法。</w:t>
      </w:r>
    </w:p>
    <w:p>
      <w:pPr>
        <w:pStyle w:val="20"/>
        <w:ind w:firstLine="420"/>
        <w:rPr>
          <w:rFonts w:ascii="Times New Roman"/>
          <w:szCs w:val="21"/>
        </w:rPr>
      </w:pPr>
      <w:r>
        <w:rPr>
          <w:rFonts w:ascii="Times New Roman"/>
          <w:szCs w:val="21"/>
        </w:rPr>
        <w:t>本文件适用于无磷或低磷洗涤剂中总磷的测定。如磷含量过高，则应稀释之后再测定。</w:t>
      </w:r>
    </w:p>
    <w:bookmarkEnd w:id="2"/>
    <w:p>
      <w:pPr>
        <w:pStyle w:val="24"/>
        <w:spacing w:beforeLines="0" w:beforeAutospacing="1" w:afterLines="0" w:afterAutospacing="1"/>
        <w:rPr>
          <w:rFonts w:ascii="Times New Roman" w:eastAsia="宋体"/>
          <w:szCs w:val="21"/>
        </w:rPr>
      </w:pPr>
      <w:bookmarkStart w:id="3" w:name="_Toc487536912"/>
      <w:bookmarkStart w:id="4" w:name="_Toc485996182"/>
      <w:r>
        <w:rPr>
          <w:rFonts w:ascii="Times New Roman" w:eastAsia="宋体"/>
          <w:szCs w:val="21"/>
        </w:rPr>
        <w:t>2 规范性引用文件</w:t>
      </w:r>
    </w:p>
    <w:p>
      <w:pPr>
        <w:pStyle w:val="20"/>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下列文件中的内容通过文中的规范性引用而构成本文件必不可少的条款。其中，注日期的引用文件，仅该日期对应的版本适用于本文件；不注日期的应用文件，其最新版本（包括所有的修改单）适用于本文件</w:t>
      </w:r>
      <w:r>
        <w:rPr>
          <w:rFonts w:hint="eastAsia" w:ascii="Times New Roman"/>
        </w:rPr>
        <w:t>。</w:t>
      </w:r>
    </w:p>
    <w:p>
      <w:pPr>
        <w:pStyle w:val="20"/>
        <w:ind w:firstLine="420"/>
        <w:rPr>
          <w:rFonts w:ascii="Times New Roman"/>
        </w:rPr>
      </w:pPr>
      <w:r>
        <w:rPr>
          <w:rFonts w:ascii="Times New Roman"/>
        </w:rPr>
        <w:t>GB/T 6682 分析实验室用手规格和试验方法</w:t>
      </w:r>
    </w:p>
    <w:p>
      <w:pPr>
        <w:pStyle w:val="20"/>
        <w:ind w:firstLine="420"/>
        <w:rPr>
          <w:rFonts w:ascii="Times New Roman"/>
        </w:rPr>
      </w:pPr>
      <w:r>
        <w:rPr>
          <w:rFonts w:ascii="Times New Roman"/>
        </w:rPr>
        <w:t>GB/T 8170 数值修约规则与极限数值的表示和判定</w:t>
      </w:r>
    </w:p>
    <w:p>
      <w:pPr>
        <w:pStyle w:val="24"/>
        <w:spacing w:beforeLines="0" w:beforeAutospacing="1" w:afterLines="0" w:afterAutospacing="1"/>
        <w:rPr>
          <w:rFonts w:ascii="Times New Roman" w:eastAsia="宋体"/>
          <w:szCs w:val="21"/>
        </w:rPr>
      </w:pPr>
      <w:r>
        <w:rPr>
          <w:rFonts w:ascii="Times New Roman" w:eastAsia="宋体"/>
          <w:szCs w:val="21"/>
        </w:rPr>
        <w:t>3 方法原理</w:t>
      </w:r>
      <w:bookmarkEnd w:id="3"/>
      <w:bookmarkEnd w:id="4"/>
    </w:p>
    <w:p>
      <w:pPr>
        <w:ind w:firstLine="420" w:firstLineChars="200"/>
        <w:jc w:val="both"/>
        <w:rPr>
          <w:rFonts w:ascii="Times New Roman"/>
          <w:sz w:val="21"/>
          <w:szCs w:val="21"/>
        </w:rPr>
      </w:pPr>
      <w:r>
        <w:rPr>
          <w:rFonts w:ascii="Times New Roman"/>
          <w:sz w:val="21"/>
          <w:szCs w:val="21"/>
        </w:rPr>
        <w:t>试样经消解后</w:t>
      </w:r>
      <w:r>
        <w:rPr>
          <w:rFonts w:hint="eastAsia" w:ascii="Times New Roman"/>
          <w:sz w:val="21"/>
          <w:szCs w:val="21"/>
        </w:rPr>
        <w:t>，</w:t>
      </w:r>
      <w:r>
        <w:rPr>
          <w:rFonts w:ascii="Times New Roman"/>
          <w:sz w:val="21"/>
          <w:szCs w:val="21"/>
        </w:rPr>
        <w:t>由电感耦合等离子体质谱仪测定</w:t>
      </w:r>
      <w:r>
        <w:rPr>
          <w:rFonts w:hint="eastAsia" w:ascii="Times New Roman"/>
          <w:sz w:val="21"/>
          <w:szCs w:val="21"/>
        </w:rPr>
        <w:t>，</w:t>
      </w:r>
      <w:r>
        <w:rPr>
          <w:rFonts w:ascii="Times New Roman"/>
          <w:sz w:val="21"/>
          <w:szCs w:val="21"/>
        </w:rPr>
        <w:t>以元素特定质量数(质荷比</w:t>
      </w:r>
      <w:r>
        <w:rPr>
          <w:rFonts w:hint="eastAsia" w:ascii="Times New Roman"/>
          <w:sz w:val="21"/>
          <w:szCs w:val="21"/>
        </w:rPr>
        <w:t>，</w:t>
      </w:r>
      <w:r>
        <w:rPr>
          <w:rFonts w:ascii="Times New Roman"/>
          <w:sz w:val="21"/>
          <w:szCs w:val="21"/>
        </w:rPr>
        <w:t>m/z)定性</w:t>
      </w:r>
      <w:r>
        <w:rPr>
          <w:rFonts w:hint="eastAsia" w:ascii="Times New Roman"/>
          <w:sz w:val="21"/>
          <w:szCs w:val="21"/>
        </w:rPr>
        <w:t>，</w:t>
      </w:r>
      <w:r>
        <w:rPr>
          <w:rFonts w:ascii="Times New Roman"/>
          <w:sz w:val="21"/>
          <w:szCs w:val="21"/>
        </w:rPr>
        <w:t>采用外标法</w:t>
      </w:r>
      <w:r>
        <w:rPr>
          <w:rFonts w:hint="eastAsia" w:ascii="Times New Roman"/>
          <w:sz w:val="21"/>
          <w:szCs w:val="21"/>
        </w:rPr>
        <w:t>，</w:t>
      </w:r>
      <w:r>
        <w:rPr>
          <w:rFonts w:ascii="Times New Roman"/>
          <w:sz w:val="21"/>
          <w:szCs w:val="21"/>
        </w:rPr>
        <w:t>以待测元素质谱信号与内标元素质谱信号的强度比与待测元素的浓度成正比进行定量分析。</w:t>
      </w:r>
    </w:p>
    <w:p>
      <w:pPr>
        <w:pStyle w:val="24"/>
        <w:spacing w:before="240" w:beforeLines="100" w:after="240" w:afterLines="100"/>
        <w:rPr>
          <w:rFonts w:ascii="Times New Roman" w:eastAsia="宋体"/>
          <w:szCs w:val="21"/>
        </w:rPr>
      </w:pPr>
      <w:bookmarkStart w:id="5" w:name="_Toc487536913"/>
      <w:r>
        <w:rPr>
          <w:rFonts w:ascii="Times New Roman" w:eastAsia="宋体"/>
          <w:szCs w:val="21"/>
        </w:rPr>
        <w:t>4 试剂和材料</w:t>
      </w:r>
      <w:bookmarkEnd w:id="5"/>
    </w:p>
    <w:p>
      <w:pPr>
        <w:pStyle w:val="23"/>
        <w:tabs>
          <w:tab w:val="clear" w:pos="720"/>
        </w:tabs>
        <w:ind w:left="0" w:firstLine="0"/>
        <w:jc w:val="left"/>
        <w:rPr>
          <w:rFonts w:ascii="Times New Roman" w:eastAsia="宋体"/>
          <w:szCs w:val="21"/>
        </w:rPr>
      </w:pPr>
      <w:bookmarkStart w:id="6" w:name="_Toc487536914"/>
      <w:r>
        <w:rPr>
          <w:rFonts w:ascii="Times New Roman" w:eastAsia="宋体"/>
          <w:szCs w:val="21"/>
        </w:rPr>
        <w:t>4.1试剂</w:t>
      </w:r>
      <w:bookmarkEnd w:id="6"/>
    </w:p>
    <w:p>
      <w:pPr>
        <w:pStyle w:val="22"/>
        <w:tabs>
          <w:tab w:val="clear" w:pos="720"/>
        </w:tabs>
        <w:jc w:val="left"/>
        <w:rPr>
          <w:rFonts w:ascii="Times New Roman" w:eastAsia="宋体"/>
          <w:szCs w:val="21"/>
        </w:rPr>
      </w:pPr>
      <w:bookmarkStart w:id="7" w:name="_Toc487536915"/>
      <w:r>
        <w:rPr>
          <w:rFonts w:ascii="Times New Roman" w:eastAsia="宋体"/>
          <w:szCs w:val="21"/>
        </w:rPr>
        <w:t>4.1.1 硝酸（HNO</w:t>
      </w:r>
      <w:r>
        <w:rPr>
          <w:rFonts w:ascii="Times New Roman" w:eastAsia="宋体"/>
          <w:szCs w:val="21"/>
          <w:vertAlign w:val="subscript"/>
        </w:rPr>
        <w:t>3</w:t>
      </w:r>
      <w:r>
        <w:rPr>
          <w:rFonts w:ascii="Times New Roman" w:eastAsia="宋体"/>
          <w:szCs w:val="21"/>
        </w:rPr>
        <w:t>）：优级纯试剂。</w:t>
      </w:r>
      <w:bookmarkEnd w:id="7"/>
    </w:p>
    <w:p>
      <w:pPr>
        <w:pStyle w:val="20"/>
        <w:ind w:firstLine="0" w:firstLineChars="0"/>
      </w:pPr>
      <w:r>
        <w:rPr>
          <w:rFonts w:ascii="Times New Roman"/>
          <w:szCs w:val="21"/>
        </w:rPr>
        <w:t>4.1.2 5%</w:t>
      </w:r>
      <w:r>
        <w:rPr>
          <w:rFonts w:hint="eastAsia" w:ascii="Times New Roman"/>
          <w:szCs w:val="21"/>
        </w:rPr>
        <w:t>稀硝酸溶液：取</w:t>
      </w:r>
      <w:r>
        <w:rPr>
          <w:rFonts w:ascii="Times New Roman"/>
          <w:szCs w:val="21"/>
        </w:rPr>
        <w:t>50 mL</w:t>
      </w:r>
      <w:r>
        <w:rPr>
          <w:rFonts w:hint="eastAsia" w:ascii="Times New Roman"/>
          <w:szCs w:val="21"/>
        </w:rPr>
        <w:t>硝酸（</w:t>
      </w:r>
      <w:r>
        <w:rPr>
          <w:rFonts w:ascii="Times New Roman"/>
          <w:szCs w:val="21"/>
        </w:rPr>
        <w:t>4.1.1</w:t>
      </w:r>
      <w:r>
        <w:rPr>
          <w:rFonts w:hint="eastAsia" w:ascii="Times New Roman"/>
          <w:szCs w:val="21"/>
        </w:rPr>
        <w:t>）用水稀释至</w:t>
      </w:r>
      <w:r>
        <w:rPr>
          <w:rFonts w:ascii="Times New Roman"/>
          <w:szCs w:val="21"/>
        </w:rPr>
        <w:t>1L</w:t>
      </w:r>
      <w:r>
        <w:rPr>
          <w:rFonts w:hint="eastAsia" w:ascii="Times New Roman"/>
          <w:szCs w:val="21"/>
        </w:rPr>
        <w:t>。</w:t>
      </w:r>
    </w:p>
    <w:p>
      <w:pPr>
        <w:pStyle w:val="22"/>
        <w:tabs>
          <w:tab w:val="clear" w:pos="720"/>
        </w:tabs>
        <w:jc w:val="left"/>
        <w:rPr>
          <w:rFonts w:ascii="Times New Roman" w:eastAsia="宋体"/>
          <w:szCs w:val="21"/>
        </w:rPr>
      </w:pPr>
      <w:bookmarkStart w:id="8" w:name="_Toc487536916"/>
      <w:r>
        <w:rPr>
          <w:rFonts w:ascii="Times New Roman" w:eastAsia="宋体"/>
          <w:szCs w:val="21"/>
        </w:rPr>
        <w:t>4.1.3 氩气（Ar）：高纯氩气（＞99.999%）。</w:t>
      </w:r>
      <w:bookmarkEnd w:id="8"/>
    </w:p>
    <w:p>
      <w:pPr>
        <w:pStyle w:val="22"/>
        <w:rPr>
          <w:rFonts w:ascii="Times New Roman" w:eastAsia="宋体"/>
          <w:szCs w:val="21"/>
        </w:rPr>
      </w:pPr>
      <w:r>
        <w:rPr>
          <w:rFonts w:ascii="Times New Roman" w:eastAsia="宋体"/>
          <w:szCs w:val="21"/>
        </w:rPr>
        <w:t>4.1.4 氦气（He）：高纯氦气（＞99.999%）。</w:t>
      </w:r>
    </w:p>
    <w:p>
      <w:pPr>
        <w:pStyle w:val="20"/>
        <w:ind w:firstLine="0" w:firstLineChars="0"/>
        <w:rPr>
          <w:rFonts w:ascii="Times New Roman"/>
        </w:rPr>
      </w:pPr>
      <w:r>
        <w:rPr>
          <w:rFonts w:ascii="Times New Roman"/>
        </w:rPr>
        <w:t>4.1.5 使用优级纯的试剂和符合GB/T 6682规定的一级水</w:t>
      </w:r>
    </w:p>
    <w:p>
      <w:pPr>
        <w:pStyle w:val="23"/>
        <w:tabs>
          <w:tab w:val="clear" w:pos="720"/>
        </w:tabs>
        <w:spacing w:before="120" w:beforeLines="50" w:after="120" w:afterLines="50"/>
        <w:ind w:left="0" w:firstLine="0"/>
        <w:jc w:val="left"/>
        <w:rPr>
          <w:rFonts w:ascii="Times New Roman" w:eastAsia="宋体"/>
          <w:szCs w:val="21"/>
        </w:rPr>
      </w:pPr>
      <w:bookmarkStart w:id="9" w:name="_Toc487536917"/>
      <w:r>
        <w:rPr>
          <w:rFonts w:ascii="Times New Roman" w:eastAsia="宋体"/>
          <w:szCs w:val="21"/>
        </w:rPr>
        <w:t>4.2 标准品</w:t>
      </w:r>
      <w:bookmarkEnd w:id="9"/>
    </w:p>
    <w:p>
      <w:pPr>
        <w:pStyle w:val="22"/>
        <w:tabs>
          <w:tab w:val="clear" w:pos="720"/>
        </w:tabs>
        <w:spacing w:before="120" w:beforeLines="50" w:after="120" w:afterLines="50"/>
        <w:jc w:val="left"/>
        <w:rPr>
          <w:rFonts w:ascii="Times New Roman" w:eastAsia="宋体"/>
          <w:szCs w:val="21"/>
        </w:rPr>
      </w:pPr>
      <w:bookmarkStart w:id="10" w:name="_Toc487536918"/>
      <w:r>
        <w:rPr>
          <w:rFonts w:ascii="Times New Roman" w:eastAsia="宋体"/>
          <w:szCs w:val="21"/>
        </w:rPr>
        <w:t>4.2.1目标磷（P）元素</w:t>
      </w:r>
      <w:r>
        <w:rPr>
          <w:rFonts w:hint="eastAsia" w:ascii="Times New Roman" w:eastAsia="宋体"/>
          <w:szCs w:val="21"/>
        </w:rPr>
        <w:t>储</w:t>
      </w:r>
      <w:r>
        <w:rPr>
          <w:rFonts w:ascii="Times New Roman" w:eastAsia="宋体"/>
          <w:szCs w:val="21"/>
        </w:rPr>
        <w:t>备液（1000 μg/mL）：采用有证标准物质单元素标准</w:t>
      </w:r>
      <w:r>
        <w:rPr>
          <w:rFonts w:hint="eastAsia" w:ascii="Times New Roman" w:eastAsia="宋体"/>
          <w:szCs w:val="21"/>
        </w:rPr>
        <w:t>储</w:t>
      </w:r>
      <w:r>
        <w:rPr>
          <w:rFonts w:ascii="Times New Roman" w:eastAsia="宋体"/>
          <w:szCs w:val="21"/>
        </w:rPr>
        <w:t>备液，</w:t>
      </w:r>
      <w:r>
        <w:rPr>
          <w:rFonts w:hint="eastAsia" w:ascii="Times New Roman" w:eastAsia="宋体"/>
          <w:szCs w:val="21"/>
        </w:rPr>
        <w:t>储</w:t>
      </w:r>
      <w:r>
        <w:rPr>
          <w:rFonts w:ascii="Times New Roman" w:eastAsia="宋体"/>
          <w:szCs w:val="21"/>
        </w:rPr>
        <w:t>备液以5%稀硝酸</w:t>
      </w:r>
      <w:r>
        <w:rPr>
          <w:rFonts w:hint="eastAsia" w:ascii="Times New Roman" w:eastAsia="宋体"/>
          <w:szCs w:val="21"/>
        </w:rPr>
        <w:t>（4</w:t>
      </w:r>
      <w:r>
        <w:rPr>
          <w:rFonts w:ascii="Times New Roman" w:eastAsia="宋体"/>
          <w:szCs w:val="21"/>
        </w:rPr>
        <w:t>.1.2</w:t>
      </w:r>
      <w:r>
        <w:rPr>
          <w:rFonts w:hint="eastAsia" w:ascii="Times New Roman" w:eastAsia="宋体"/>
          <w:szCs w:val="21"/>
        </w:rPr>
        <w:t>）</w:t>
      </w:r>
      <w:r>
        <w:rPr>
          <w:rFonts w:ascii="Times New Roman" w:eastAsia="宋体"/>
          <w:szCs w:val="21"/>
        </w:rPr>
        <w:t>介质为佳。</w:t>
      </w:r>
      <w:bookmarkEnd w:id="10"/>
    </w:p>
    <w:p>
      <w:pPr>
        <w:pStyle w:val="22"/>
        <w:tabs>
          <w:tab w:val="clear" w:pos="720"/>
        </w:tabs>
        <w:spacing w:before="120" w:beforeLines="50" w:after="120" w:afterLines="50"/>
        <w:jc w:val="left"/>
        <w:rPr>
          <w:rFonts w:ascii="Times New Roman" w:eastAsia="宋体"/>
          <w:szCs w:val="21"/>
        </w:rPr>
      </w:pPr>
      <w:r>
        <w:rPr>
          <w:rFonts w:ascii="Times New Roman" w:eastAsia="宋体"/>
          <w:szCs w:val="21"/>
        </w:rPr>
        <w:t>4.2.2内标元素钪（Sc）</w:t>
      </w:r>
      <w:r>
        <w:rPr>
          <w:rFonts w:hint="eastAsia" w:ascii="Times New Roman" w:eastAsia="宋体"/>
          <w:szCs w:val="21"/>
        </w:rPr>
        <w:t>储</w:t>
      </w:r>
      <w:r>
        <w:rPr>
          <w:rFonts w:ascii="Times New Roman" w:eastAsia="宋体"/>
          <w:szCs w:val="21"/>
        </w:rPr>
        <w:t>备液（1000 μg/mL）：采用有证标准物质单元素标准</w:t>
      </w:r>
      <w:r>
        <w:rPr>
          <w:rFonts w:hint="eastAsia" w:ascii="Times New Roman" w:eastAsia="宋体"/>
          <w:szCs w:val="21"/>
        </w:rPr>
        <w:t>储</w:t>
      </w:r>
      <w:r>
        <w:rPr>
          <w:rFonts w:ascii="Times New Roman" w:eastAsia="宋体"/>
          <w:szCs w:val="21"/>
        </w:rPr>
        <w:t>备液，</w:t>
      </w:r>
      <w:r>
        <w:rPr>
          <w:rFonts w:hint="eastAsia" w:ascii="Times New Roman" w:eastAsia="宋体"/>
          <w:szCs w:val="21"/>
        </w:rPr>
        <w:t>储</w:t>
      </w:r>
      <w:r>
        <w:rPr>
          <w:rFonts w:ascii="Times New Roman" w:eastAsia="宋体"/>
          <w:szCs w:val="21"/>
        </w:rPr>
        <w:t>备液以5%稀硝酸</w:t>
      </w:r>
      <w:r>
        <w:rPr>
          <w:rFonts w:hint="eastAsia" w:ascii="Times New Roman" w:eastAsia="宋体"/>
          <w:szCs w:val="21"/>
        </w:rPr>
        <w:t>（4</w:t>
      </w:r>
      <w:r>
        <w:rPr>
          <w:rFonts w:ascii="Times New Roman" w:eastAsia="宋体"/>
          <w:szCs w:val="21"/>
        </w:rPr>
        <w:t>.1.2</w:t>
      </w:r>
      <w:r>
        <w:rPr>
          <w:rFonts w:hint="eastAsia" w:ascii="Times New Roman" w:eastAsia="宋体"/>
          <w:szCs w:val="21"/>
        </w:rPr>
        <w:t>）</w:t>
      </w:r>
      <w:r>
        <w:rPr>
          <w:rFonts w:ascii="Times New Roman" w:eastAsia="宋体"/>
          <w:szCs w:val="21"/>
        </w:rPr>
        <w:t>介质为佳。</w:t>
      </w:r>
    </w:p>
    <w:p>
      <w:pPr>
        <w:pStyle w:val="23"/>
        <w:tabs>
          <w:tab w:val="clear" w:pos="720"/>
        </w:tabs>
        <w:spacing w:before="120" w:beforeLines="50" w:after="120" w:afterLines="50"/>
        <w:ind w:left="0" w:firstLine="0"/>
        <w:jc w:val="left"/>
        <w:rPr>
          <w:rFonts w:ascii="Times New Roman" w:eastAsia="宋体"/>
          <w:szCs w:val="21"/>
        </w:rPr>
      </w:pPr>
      <w:bookmarkStart w:id="11" w:name="_Toc487536920"/>
      <w:r>
        <w:rPr>
          <w:rFonts w:ascii="Times New Roman" w:eastAsia="宋体"/>
          <w:szCs w:val="21"/>
        </w:rPr>
        <w:t>4.3标准溶液配制</w:t>
      </w:r>
      <w:bookmarkEnd w:id="11"/>
    </w:p>
    <w:p>
      <w:pPr>
        <w:pStyle w:val="22"/>
        <w:tabs>
          <w:tab w:val="clear" w:pos="720"/>
        </w:tabs>
        <w:spacing w:before="120" w:beforeLines="50" w:after="120" w:afterLines="50"/>
        <w:jc w:val="left"/>
        <w:rPr>
          <w:rFonts w:ascii="Times New Roman" w:eastAsia="宋体"/>
          <w:szCs w:val="21"/>
        </w:rPr>
      </w:pPr>
      <w:bookmarkStart w:id="12" w:name="_Toc487536921"/>
      <w:r>
        <w:rPr>
          <w:rFonts w:ascii="Times New Roman" w:eastAsia="宋体"/>
          <w:szCs w:val="21"/>
        </w:rPr>
        <w:t>4.3.1</w:t>
      </w:r>
      <w:r>
        <w:rPr>
          <w:rFonts w:hint="eastAsia" w:ascii="Times New Roman" w:eastAsia="宋体"/>
          <w:szCs w:val="21"/>
        </w:rPr>
        <w:t>磷</w:t>
      </w:r>
      <w:r>
        <w:rPr>
          <w:rFonts w:ascii="Times New Roman" w:eastAsia="宋体"/>
          <w:szCs w:val="21"/>
        </w:rPr>
        <w:t>标准工作溶液</w:t>
      </w:r>
      <w:bookmarkEnd w:id="12"/>
    </w:p>
    <w:p>
      <w:pPr>
        <w:ind w:firstLine="420" w:firstLineChars="200"/>
        <w:jc w:val="both"/>
        <w:rPr>
          <w:rFonts w:ascii="Times New Roman"/>
          <w:szCs w:val="21"/>
        </w:rPr>
      </w:pPr>
      <w:r>
        <w:rPr>
          <w:rFonts w:hint="eastAsia" w:ascii="Times New Roman"/>
          <w:sz w:val="21"/>
          <w:szCs w:val="21"/>
        </w:rPr>
        <w:t>取适量目标磷（</w:t>
      </w:r>
      <w:r>
        <w:rPr>
          <w:rFonts w:ascii="Times New Roman"/>
          <w:sz w:val="21"/>
          <w:szCs w:val="21"/>
        </w:rPr>
        <w:t>P</w:t>
      </w:r>
      <w:r>
        <w:rPr>
          <w:rFonts w:hint="eastAsia" w:ascii="Times New Roman"/>
          <w:sz w:val="21"/>
          <w:szCs w:val="21"/>
        </w:rPr>
        <w:t>）元素储备液（</w:t>
      </w:r>
      <w:r>
        <w:rPr>
          <w:rFonts w:ascii="Times New Roman"/>
          <w:sz w:val="21"/>
          <w:szCs w:val="21"/>
        </w:rPr>
        <w:t>1000 μg/mL</w:t>
      </w:r>
      <w:r>
        <w:rPr>
          <w:rFonts w:hint="eastAsia" w:ascii="Times New Roman"/>
          <w:sz w:val="21"/>
          <w:szCs w:val="21"/>
        </w:rPr>
        <w:t>），用</w:t>
      </w:r>
      <w:r>
        <w:rPr>
          <w:rFonts w:ascii="Times New Roman"/>
          <w:sz w:val="21"/>
          <w:szCs w:val="21"/>
        </w:rPr>
        <w:t>5%</w:t>
      </w:r>
      <w:r>
        <w:rPr>
          <w:rFonts w:hint="eastAsia" w:ascii="Times New Roman"/>
          <w:sz w:val="21"/>
          <w:szCs w:val="21"/>
        </w:rPr>
        <w:t>稀硝酸（4.1.2）逐级稀释配成标准溶液系列。亦可依据样品溶液中磷元素质量浓度，适当调整标准系列磷元素质量浓度范围。磷标准系列溶液质量浓度参见附录</w:t>
      </w:r>
      <w:r>
        <w:rPr>
          <w:rFonts w:ascii="Times New Roman"/>
          <w:sz w:val="21"/>
          <w:szCs w:val="21"/>
        </w:rPr>
        <w:t>A</w:t>
      </w:r>
      <w:r>
        <w:rPr>
          <w:rFonts w:hint="eastAsia" w:ascii="Times New Roman"/>
          <w:sz w:val="21"/>
          <w:szCs w:val="21"/>
        </w:rPr>
        <w:t>中表</w:t>
      </w:r>
      <w:r>
        <w:rPr>
          <w:rFonts w:ascii="Times New Roman"/>
          <w:sz w:val="21"/>
          <w:szCs w:val="21"/>
        </w:rPr>
        <w:t>A.1</w:t>
      </w:r>
      <w:r>
        <w:rPr>
          <w:rFonts w:hint="eastAsia" w:ascii="Times New Roman"/>
          <w:sz w:val="21"/>
          <w:szCs w:val="21"/>
        </w:rPr>
        <w:t>。</w:t>
      </w:r>
    </w:p>
    <w:p>
      <w:pPr>
        <w:pStyle w:val="22"/>
        <w:tabs>
          <w:tab w:val="clear" w:pos="720"/>
        </w:tabs>
        <w:spacing w:before="120" w:beforeLines="50" w:after="120" w:afterLines="50"/>
        <w:jc w:val="left"/>
        <w:rPr>
          <w:rFonts w:ascii="Times New Roman" w:eastAsia="宋体"/>
          <w:szCs w:val="21"/>
        </w:rPr>
      </w:pPr>
      <w:bookmarkStart w:id="13" w:name="_Toc487536922"/>
      <w:r>
        <w:rPr>
          <w:rFonts w:ascii="Times New Roman" w:eastAsia="宋体"/>
          <w:szCs w:val="21"/>
        </w:rPr>
        <w:t>4.3.2</w:t>
      </w:r>
      <w:r>
        <w:rPr>
          <w:rFonts w:hint="eastAsia" w:ascii="Times New Roman" w:eastAsia="宋体"/>
          <w:szCs w:val="21"/>
        </w:rPr>
        <w:t>钪</w:t>
      </w:r>
      <w:r>
        <w:rPr>
          <w:rFonts w:ascii="Times New Roman" w:eastAsia="宋体"/>
          <w:szCs w:val="21"/>
        </w:rPr>
        <w:t>内标溶液</w:t>
      </w:r>
      <w:bookmarkEnd w:id="13"/>
    </w:p>
    <w:p>
      <w:pPr>
        <w:pStyle w:val="22"/>
        <w:spacing w:before="156" w:after="156"/>
        <w:ind w:firstLine="420" w:firstLineChars="200"/>
        <w:rPr>
          <w:rFonts w:ascii="Times New Roman" w:eastAsia="宋体"/>
          <w:szCs w:val="21"/>
        </w:rPr>
      </w:pPr>
      <w:r>
        <w:rPr>
          <w:rFonts w:ascii="Times New Roman" w:eastAsia="宋体"/>
          <w:szCs w:val="21"/>
        </w:rPr>
        <w:t>取适量内标元素钪（Sc）储备液（1000 μg/mL）混合，用5%稀硝酸</w:t>
      </w:r>
      <w:r>
        <w:rPr>
          <w:rFonts w:hint="eastAsia" w:ascii="Times New Roman" w:eastAsia="宋体"/>
          <w:szCs w:val="21"/>
        </w:rPr>
        <w:t>（4</w:t>
      </w:r>
      <w:r>
        <w:rPr>
          <w:rFonts w:ascii="Times New Roman" w:eastAsia="宋体"/>
          <w:szCs w:val="21"/>
        </w:rPr>
        <w:t>.1.2</w:t>
      </w:r>
      <w:r>
        <w:rPr>
          <w:rFonts w:hint="eastAsia" w:ascii="Times New Roman" w:eastAsia="宋体"/>
          <w:szCs w:val="21"/>
        </w:rPr>
        <w:t>）</w:t>
      </w:r>
      <w:r>
        <w:rPr>
          <w:rFonts w:ascii="Times New Roman" w:eastAsia="宋体"/>
          <w:szCs w:val="21"/>
        </w:rPr>
        <w:t>配制合适浓度的内标使用液。内标溶液使用液浓度参见附录A中表A.2。</w:t>
      </w:r>
    </w:p>
    <w:p>
      <w:pPr>
        <w:pStyle w:val="24"/>
        <w:spacing w:before="240" w:beforeLines="100" w:after="240" w:afterLines="100"/>
        <w:rPr>
          <w:rFonts w:ascii="Times New Roman" w:eastAsia="宋体"/>
          <w:szCs w:val="21"/>
        </w:rPr>
      </w:pPr>
      <w:bookmarkStart w:id="14" w:name="_Toc487536923"/>
      <w:r>
        <w:rPr>
          <w:rFonts w:ascii="Times New Roman" w:eastAsia="宋体"/>
          <w:szCs w:val="21"/>
        </w:rPr>
        <w:t>5 仪器和设备</w:t>
      </w:r>
      <w:bookmarkEnd w:id="14"/>
    </w:p>
    <w:p>
      <w:pPr>
        <w:pStyle w:val="23"/>
        <w:tabs>
          <w:tab w:val="clear" w:pos="720"/>
        </w:tabs>
        <w:spacing w:before="120" w:beforeLines="50" w:after="120" w:afterLines="50"/>
        <w:ind w:left="0" w:firstLine="0"/>
        <w:jc w:val="left"/>
        <w:rPr>
          <w:rFonts w:ascii="Times New Roman" w:eastAsia="宋体"/>
          <w:szCs w:val="21"/>
        </w:rPr>
      </w:pPr>
      <w:bookmarkStart w:id="15" w:name="_Toc487536924"/>
      <w:r>
        <w:rPr>
          <w:rFonts w:ascii="Times New Roman" w:eastAsia="宋体"/>
          <w:szCs w:val="21"/>
        </w:rPr>
        <w:t>5.1电感耦合等离子体质谱仪（ICP-MS）。</w:t>
      </w:r>
      <w:bookmarkEnd w:id="15"/>
    </w:p>
    <w:p>
      <w:pPr>
        <w:pStyle w:val="23"/>
        <w:tabs>
          <w:tab w:val="clear" w:pos="720"/>
        </w:tabs>
        <w:spacing w:before="120" w:beforeLines="50" w:after="120" w:afterLines="50"/>
        <w:ind w:left="0" w:firstLine="0"/>
        <w:jc w:val="left"/>
        <w:rPr>
          <w:rFonts w:ascii="Times New Roman" w:eastAsia="宋体"/>
          <w:szCs w:val="21"/>
        </w:rPr>
      </w:pPr>
      <w:bookmarkStart w:id="16" w:name="_Toc487536925"/>
      <w:r>
        <w:rPr>
          <w:rFonts w:ascii="Times New Roman" w:eastAsia="宋体"/>
          <w:szCs w:val="21"/>
        </w:rPr>
        <w:t>5.2电子天平：感量为0.1 mg。</w:t>
      </w:r>
      <w:bookmarkEnd w:id="16"/>
    </w:p>
    <w:p>
      <w:pPr>
        <w:pStyle w:val="23"/>
        <w:tabs>
          <w:tab w:val="clear" w:pos="720"/>
        </w:tabs>
        <w:spacing w:before="120" w:beforeLines="50" w:after="120" w:afterLines="50"/>
        <w:ind w:left="0" w:firstLine="0"/>
        <w:jc w:val="left"/>
        <w:rPr>
          <w:rFonts w:ascii="Times New Roman" w:eastAsia="宋体"/>
          <w:szCs w:val="21"/>
        </w:rPr>
      </w:pPr>
      <w:bookmarkStart w:id="17" w:name="_Toc487536926"/>
      <w:r>
        <w:rPr>
          <w:rFonts w:ascii="Times New Roman" w:eastAsia="宋体"/>
          <w:szCs w:val="21"/>
        </w:rPr>
        <w:t>5.3密闭微波消解系统，配有聚四氟乙烯消解罐。</w:t>
      </w:r>
      <w:bookmarkEnd w:id="17"/>
    </w:p>
    <w:p>
      <w:pPr>
        <w:pStyle w:val="23"/>
        <w:tabs>
          <w:tab w:val="clear" w:pos="720"/>
        </w:tabs>
        <w:spacing w:before="120" w:beforeLines="50" w:after="120" w:afterLines="50"/>
        <w:ind w:left="0" w:firstLine="0"/>
        <w:jc w:val="left"/>
        <w:rPr>
          <w:rFonts w:ascii="Times New Roman" w:eastAsia="宋体"/>
          <w:szCs w:val="21"/>
        </w:rPr>
      </w:pPr>
      <w:bookmarkStart w:id="18" w:name="_Toc487536927"/>
      <w:r>
        <w:rPr>
          <w:rFonts w:ascii="Times New Roman" w:eastAsia="宋体"/>
          <w:szCs w:val="21"/>
        </w:rPr>
        <w:t>5.4压力消解罐，配有聚四氟乙烯消解内罐。</w:t>
      </w:r>
      <w:bookmarkEnd w:id="18"/>
    </w:p>
    <w:p>
      <w:pPr>
        <w:pStyle w:val="23"/>
        <w:tabs>
          <w:tab w:val="clear" w:pos="720"/>
        </w:tabs>
        <w:spacing w:before="120" w:beforeLines="50" w:after="120" w:afterLines="50"/>
        <w:ind w:left="0" w:firstLine="0"/>
        <w:jc w:val="left"/>
        <w:rPr>
          <w:rFonts w:ascii="Times New Roman" w:eastAsia="宋体"/>
          <w:szCs w:val="21"/>
        </w:rPr>
      </w:pPr>
      <w:bookmarkStart w:id="19" w:name="_Toc487536928"/>
      <w:r>
        <w:rPr>
          <w:rFonts w:ascii="Times New Roman" w:eastAsia="宋体"/>
          <w:szCs w:val="21"/>
        </w:rPr>
        <w:t xml:space="preserve">5.5恒温干燥箱：室温～200 </w:t>
      </w:r>
      <w:r>
        <w:rPr>
          <w:rFonts w:hint="eastAsia" w:ascii="宋体" w:hAnsi="宋体" w:eastAsia="宋体" w:cs="宋体"/>
          <w:szCs w:val="21"/>
        </w:rPr>
        <w:t>℃</w:t>
      </w:r>
      <w:r>
        <w:rPr>
          <w:rFonts w:ascii="Times New Roman" w:eastAsia="宋体"/>
          <w:szCs w:val="21"/>
        </w:rPr>
        <w:t>。</w:t>
      </w:r>
      <w:bookmarkEnd w:id="19"/>
    </w:p>
    <w:p>
      <w:pPr>
        <w:pStyle w:val="23"/>
        <w:tabs>
          <w:tab w:val="clear" w:pos="720"/>
        </w:tabs>
        <w:spacing w:before="120" w:beforeLines="50" w:after="120" w:afterLines="50"/>
        <w:ind w:left="0" w:firstLine="0"/>
        <w:jc w:val="left"/>
        <w:rPr>
          <w:rFonts w:ascii="Times New Roman" w:eastAsia="宋体"/>
          <w:szCs w:val="21"/>
        </w:rPr>
      </w:pPr>
      <w:bookmarkStart w:id="20" w:name="_Toc487536929"/>
      <w:r>
        <w:rPr>
          <w:rFonts w:ascii="Times New Roman" w:eastAsia="宋体"/>
          <w:szCs w:val="21"/>
        </w:rPr>
        <w:t>5.6超声水浴箱。</w:t>
      </w:r>
      <w:bookmarkEnd w:id="20"/>
    </w:p>
    <w:p>
      <w:pPr>
        <w:pStyle w:val="24"/>
        <w:spacing w:before="240" w:beforeLines="100" w:after="240" w:afterLines="100"/>
        <w:rPr>
          <w:rFonts w:ascii="Times New Roman" w:eastAsia="宋体"/>
          <w:szCs w:val="21"/>
        </w:rPr>
      </w:pPr>
      <w:bookmarkStart w:id="21" w:name="_Toc487536930"/>
      <w:r>
        <w:rPr>
          <w:rFonts w:ascii="Times New Roman" w:eastAsia="宋体"/>
          <w:szCs w:val="21"/>
        </w:rPr>
        <w:t>6分析步骤</w:t>
      </w:r>
      <w:bookmarkEnd w:id="21"/>
    </w:p>
    <w:p>
      <w:pPr>
        <w:pStyle w:val="23"/>
        <w:tabs>
          <w:tab w:val="clear" w:pos="720"/>
        </w:tabs>
        <w:spacing w:before="120" w:beforeLines="50" w:after="120" w:afterLines="50"/>
        <w:ind w:left="0" w:firstLine="0"/>
        <w:jc w:val="left"/>
        <w:rPr>
          <w:rFonts w:ascii="Times New Roman" w:eastAsia="宋体"/>
          <w:szCs w:val="21"/>
        </w:rPr>
      </w:pPr>
      <w:bookmarkStart w:id="22" w:name="_Toc487536931"/>
      <w:r>
        <w:rPr>
          <w:rFonts w:ascii="Times New Roman" w:eastAsia="宋体"/>
          <w:szCs w:val="21"/>
        </w:rPr>
        <w:t>6.1试样制备</w:t>
      </w:r>
      <w:bookmarkEnd w:id="22"/>
    </w:p>
    <w:p>
      <w:pPr>
        <w:autoSpaceDE w:val="0"/>
        <w:autoSpaceDN w:val="0"/>
        <w:adjustRightInd w:val="0"/>
        <w:ind w:firstLine="420" w:firstLineChars="200"/>
        <w:rPr>
          <w:rFonts w:ascii="Times New Roman"/>
          <w:sz w:val="21"/>
          <w:szCs w:val="21"/>
        </w:rPr>
      </w:pPr>
      <w:r>
        <w:rPr>
          <w:rFonts w:ascii="Times New Roman"/>
          <w:sz w:val="21"/>
          <w:szCs w:val="21"/>
        </w:rPr>
        <w:t>粉末样品搅拌均匀，备用；液体样品摇匀，备用。</w:t>
      </w:r>
    </w:p>
    <w:p>
      <w:pPr>
        <w:pStyle w:val="23"/>
        <w:tabs>
          <w:tab w:val="clear" w:pos="720"/>
        </w:tabs>
        <w:spacing w:before="120" w:beforeLines="50" w:after="120" w:afterLines="50"/>
        <w:ind w:left="0" w:firstLine="0"/>
        <w:jc w:val="left"/>
        <w:rPr>
          <w:rFonts w:ascii="Times New Roman" w:eastAsia="宋体"/>
          <w:szCs w:val="21"/>
        </w:rPr>
      </w:pPr>
      <w:bookmarkStart w:id="23" w:name="_Toc487536932"/>
      <w:r>
        <w:rPr>
          <w:rFonts w:ascii="Times New Roman" w:eastAsia="宋体"/>
          <w:szCs w:val="21"/>
        </w:rPr>
        <w:t>6.2试样消解</w:t>
      </w:r>
      <w:bookmarkEnd w:id="23"/>
    </w:p>
    <w:p>
      <w:pPr>
        <w:pStyle w:val="22"/>
        <w:tabs>
          <w:tab w:val="clear" w:pos="720"/>
        </w:tabs>
        <w:spacing w:before="120" w:beforeLines="50" w:after="120" w:afterLines="50"/>
        <w:jc w:val="left"/>
        <w:rPr>
          <w:rFonts w:ascii="Times New Roman" w:eastAsia="宋体"/>
          <w:szCs w:val="21"/>
        </w:rPr>
      </w:pPr>
      <w:bookmarkStart w:id="24" w:name="_Toc487536933"/>
      <w:r>
        <w:rPr>
          <w:rFonts w:ascii="Times New Roman" w:eastAsia="宋体"/>
          <w:szCs w:val="21"/>
        </w:rPr>
        <w:t>6.2.1微波消解</w:t>
      </w:r>
      <w:bookmarkEnd w:id="24"/>
    </w:p>
    <w:p>
      <w:pPr>
        <w:autoSpaceDE w:val="0"/>
        <w:autoSpaceDN w:val="0"/>
        <w:adjustRightInd w:val="0"/>
        <w:ind w:firstLine="420" w:firstLineChars="200"/>
        <w:rPr>
          <w:rFonts w:ascii="Times New Roman"/>
          <w:sz w:val="21"/>
          <w:szCs w:val="21"/>
        </w:rPr>
      </w:pPr>
      <w:r>
        <w:rPr>
          <w:rFonts w:ascii="Times New Roman"/>
          <w:sz w:val="21"/>
          <w:szCs w:val="21"/>
        </w:rPr>
        <w:t>称取样品0.2 g～0.5 g（</w:t>
      </w:r>
      <w:r>
        <w:rPr>
          <w:rFonts w:hint="eastAsia" w:ascii="Times New Roman"/>
          <w:sz w:val="21"/>
          <w:szCs w:val="21"/>
        </w:rPr>
        <w:t>称准至0.001 g</w:t>
      </w:r>
      <w:r>
        <w:rPr>
          <w:rFonts w:ascii="Times New Roman"/>
          <w:sz w:val="21"/>
          <w:szCs w:val="21"/>
        </w:rPr>
        <w:t>），加入5 mL硝酸，加盖放置1 h，旋紧罐盖，按照微波消解仪的标准操作步骤进行消解（消解参考条件见附录B表B.1）。冷却后取出，缓慢打开罐盖排气，用少量水冲洗内盖，将消解罐放在超声水浴箱或电热板中，赶走棕色气体，取出消解内罐，将消化液转移至50 mL容量瓶中，并定容至刻度，混匀备用；同时做试剂空白试验。</w:t>
      </w:r>
    </w:p>
    <w:p>
      <w:pPr>
        <w:pStyle w:val="22"/>
        <w:tabs>
          <w:tab w:val="clear" w:pos="720"/>
        </w:tabs>
        <w:spacing w:before="120" w:beforeLines="50" w:after="120" w:afterLines="50"/>
        <w:jc w:val="left"/>
        <w:rPr>
          <w:rFonts w:ascii="Times New Roman" w:eastAsia="宋体"/>
          <w:szCs w:val="21"/>
        </w:rPr>
      </w:pPr>
      <w:bookmarkStart w:id="25" w:name="_Toc487536934"/>
      <w:r>
        <w:rPr>
          <w:rFonts w:ascii="Times New Roman" w:eastAsia="宋体"/>
          <w:szCs w:val="21"/>
        </w:rPr>
        <w:t>6.2.2压力罐消解</w:t>
      </w:r>
      <w:bookmarkEnd w:id="25"/>
    </w:p>
    <w:p>
      <w:pPr>
        <w:autoSpaceDE w:val="0"/>
        <w:autoSpaceDN w:val="0"/>
        <w:adjustRightInd w:val="0"/>
        <w:ind w:firstLine="420" w:firstLineChars="200"/>
        <w:rPr>
          <w:rFonts w:ascii="Times New Roman"/>
          <w:sz w:val="21"/>
          <w:szCs w:val="21"/>
        </w:rPr>
      </w:pPr>
      <w:r>
        <w:rPr>
          <w:rFonts w:ascii="Times New Roman"/>
          <w:sz w:val="21"/>
          <w:szCs w:val="21"/>
        </w:rPr>
        <w:t>称取样品0.2 g～0.5 g（</w:t>
      </w:r>
      <w:r>
        <w:rPr>
          <w:rFonts w:hint="eastAsia" w:ascii="Times New Roman"/>
          <w:sz w:val="21"/>
          <w:szCs w:val="21"/>
        </w:rPr>
        <w:t>称准至0.001 g</w:t>
      </w:r>
      <w:r>
        <w:rPr>
          <w:rFonts w:ascii="Times New Roman"/>
          <w:sz w:val="21"/>
          <w:szCs w:val="21"/>
        </w:rPr>
        <w:t>）消解内罐中，加入5 mL硝酸，盖好内盖，放置1 h，旋紧不锈钢外套，放入恒温干燥箱消解（消解参考条件见附录B表B.1）。在箱内自然冷却至室温，然后缓慢旋松不锈钢外套，取出消解内罐，用少量水冲洗内盖，将消解罐放在超声水浴箱或电热板中，赶走棕色气体。将消解液转移至50 mL容量瓶中，并定容至刻度，混匀备用；同时做试剂空白试验。</w:t>
      </w:r>
    </w:p>
    <w:p>
      <w:pPr>
        <w:pStyle w:val="23"/>
        <w:tabs>
          <w:tab w:val="clear" w:pos="720"/>
        </w:tabs>
        <w:spacing w:before="120" w:beforeLines="50" w:after="120" w:afterLines="50"/>
        <w:ind w:left="0" w:firstLine="0"/>
        <w:jc w:val="left"/>
        <w:rPr>
          <w:rFonts w:ascii="Times New Roman" w:eastAsia="宋体"/>
          <w:szCs w:val="21"/>
        </w:rPr>
      </w:pPr>
      <w:bookmarkStart w:id="26" w:name="_Toc487536935"/>
      <w:r>
        <w:rPr>
          <w:rFonts w:ascii="Times New Roman" w:eastAsia="宋体"/>
          <w:szCs w:val="21"/>
        </w:rPr>
        <w:t>6.3仪器参考条件</w:t>
      </w:r>
      <w:bookmarkEnd w:id="26"/>
    </w:p>
    <w:p>
      <w:pPr>
        <w:pStyle w:val="22"/>
        <w:tabs>
          <w:tab w:val="clear" w:pos="720"/>
        </w:tabs>
        <w:spacing w:before="120" w:beforeLines="50" w:after="120" w:afterLines="50"/>
        <w:jc w:val="left"/>
        <w:rPr>
          <w:rFonts w:ascii="Times New Roman" w:eastAsia="宋体"/>
          <w:szCs w:val="21"/>
        </w:rPr>
      </w:pPr>
      <w:bookmarkStart w:id="27" w:name="_Toc487536936"/>
      <w:r>
        <w:rPr>
          <w:rFonts w:ascii="Times New Roman" w:eastAsia="宋体"/>
          <w:szCs w:val="21"/>
        </w:rPr>
        <w:t>6.3.1优化仪器操作条件（仪器操作参考条件见附录B表B.2），使灵敏度、氧化物和双电荷化合物达到测定要求。</w:t>
      </w:r>
      <w:bookmarkEnd w:id="27"/>
    </w:p>
    <w:p>
      <w:pPr>
        <w:autoSpaceDE w:val="0"/>
        <w:autoSpaceDN w:val="0"/>
        <w:adjustRightInd w:val="0"/>
        <w:rPr>
          <w:rFonts w:ascii="Times New Roman"/>
          <w:sz w:val="21"/>
          <w:szCs w:val="21"/>
        </w:rPr>
      </w:pPr>
      <w:bookmarkStart w:id="28" w:name="_Toc487536937"/>
      <w:r>
        <w:rPr>
          <w:rFonts w:ascii="Times New Roman"/>
          <w:sz w:val="21"/>
          <w:szCs w:val="21"/>
        </w:rPr>
        <w:t>测定参考条件：在调谐仪器达到测定要求后，编辑测定方法、选择磷元素同位素</w:t>
      </w:r>
      <w:bookmarkEnd w:id="28"/>
      <w:r>
        <w:rPr>
          <w:rFonts w:ascii="Times New Roman"/>
          <w:sz w:val="21"/>
          <w:szCs w:val="21"/>
        </w:rPr>
        <w:t>，依次将试剂空白、标准系列、样品溶液引入仪器进行测定。</w:t>
      </w:r>
    </w:p>
    <w:p>
      <w:pPr>
        <w:pStyle w:val="22"/>
        <w:tabs>
          <w:tab w:val="clear" w:pos="720"/>
        </w:tabs>
        <w:spacing w:before="120" w:beforeLines="50" w:after="120" w:afterLines="50"/>
        <w:jc w:val="left"/>
        <w:rPr>
          <w:rFonts w:ascii="Times New Roman" w:eastAsia="宋体"/>
          <w:szCs w:val="21"/>
        </w:rPr>
      </w:pPr>
      <w:bookmarkStart w:id="29" w:name="_Toc487536938"/>
      <w:r>
        <w:rPr>
          <w:rFonts w:ascii="Times New Roman" w:eastAsia="宋体"/>
          <w:szCs w:val="21"/>
        </w:rPr>
        <w:t>6.3.2可采用干扰校正方程对测定结果进行校正，仪器软件一般都含有干扰校正方程。</w:t>
      </w:r>
      <w:bookmarkEnd w:id="29"/>
    </w:p>
    <w:p>
      <w:pPr>
        <w:pStyle w:val="23"/>
        <w:tabs>
          <w:tab w:val="clear" w:pos="720"/>
        </w:tabs>
        <w:spacing w:before="120" w:beforeLines="50" w:after="120" w:afterLines="50"/>
        <w:ind w:left="0" w:firstLine="0"/>
        <w:jc w:val="left"/>
        <w:rPr>
          <w:rFonts w:ascii="Times New Roman" w:eastAsia="宋体"/>
          <w:szCs w:val="21"/>
        </w:rPr>
      </w:pPr>
      <w:bookmarkStart w:id="30" w:name="_Toc487536939"/>
      <w:r>
        <w:rPr>
          <w:rFonts w:ascii="Times New Roman" w:eastAsia="宋体"/>
          <w:szCs w:val="21"/>
        </w:rPr>
        <w:t>6.4标准曲线的制作</w:t>
      </w:r>
      <w:bookmarkEnd w:id="30"/>
    </w:p>
    <w:p>
      <w:pPr>
        <w:autoSpaceDE w:val="0"/>
        <w:autoSpaceDN w:val="0"/>
        <w:adjustRightInd w:val="0"/>
        <w:ind w:firstLine="420" w:firstLineChars="200"/>
        <w:jc w:val="both"/>
        <w:rPr>
          <w:rFonts w:ascii="Times New Roman"/>
          <w:sz w:val="21"/>
          <w:szCs w:val="21"/>
        </w:rPr>
      </w:pPr>
      <w:bookmarkStart w:id="31" w:name="_Toc487536940"/>
      <w:r>
        <w:rPr>
          <w:rFonts w:ascii="Times New Roman"/>
          <w:sz w:val="21"/>
          <w:szCs w:val="21"/>
        </w:rPr>
        <w:t>将</w:t>
      </w:r>
      <w:r>
        <w:rPr>
          <w:rFonts w:hint="eastAsia" w:ascii="Times New Roman"/>
          <w:sz w:val="21"/>
          <w:szCs w:val="21"/>
        </w:rPr>
        <w:t>磷</w:t>
      </w:r>
      <w:r>
        <w:rPr>
          <w:rFonts w:ascii="Times New Roman"/>
          <w:sz w:val="21"/>
          <w:szCs w:val="21"/>
        </w:rPr>
        <w:t>标准系列工作溶液</w:t>
      </w:r>
      <w:r>
        <w:rPr>
          <w:rFonts w:hint="eastAsia" w:ascii="Times New Roman"/>
          <w:sz w:val="21"/>
          <w:szCs w:val="21"/>
        </w:rPr>
        <w:t>与钪内标溶液</w:t>
      </w:r>
      <w:r>
        <w:rPr>
          <w:rFonts w:ascii="Times New Roman"/>
          <w:sz w:val="21"/>
          <w:szCs w:val="21"/>
        </w:rPr>
        <w:t>注入电感耦合等离子质谱仪中，测定目标磷</w:t>
      </w:r>
      <w:r>
        <w:rPr>
          <w:rFonts w:hint="eastAsia" w:ascii="Times New Roman"/>
          <w:sz w:val="21"/>
          <w:szCs w:val="21"/>
        </w:rPr>
        <w:t>（P）</w:t>
      </w:r>
      <w:r>
        <w:rPr>
          <w:rFonts w:ascii="Times New Roman"/>
          <w:sz w:val="21"/>
          <w:szCs w:val="21"/>
        </w:rPr>
        <w:t>和内标钪（Sc）的信号响应值，以磷</w:t>
      </w:r>
      <w:r>
        <w:rPr>
          <w:rFonts w:hint="eastAsia" w:ascii="Times New Roman"/>
          <w:sz w:val="21"/>
          <w:szCs w:val="21"/>
        </w:rPr>
        <w:t>（P）</w:t>
      </w:r>
      <w:r>
        <w:rPr>
          <w:rFonts w:ascii="Times New Roman"/>
          <w:sz w:val="21"/>
          <w:szCs w:val="21"/>
        </w:rPr>
        <w:t>和钪（Sc）信号响应值的比值为横坐标，以磷</w:t>
      </w:r>
      <w:r>
        <w:rPr>
          <w:rFonts w:hint="eastAsia" w:ascii="Times New Roman"/>
          <w:sz w:val="21"/>
          <w:szCs w:val="21"/>
        </w:rPr>
        <w:t>（P）</w:t>
      </w:r>
      <w:r>
        <w:rPr>
          <w:rFonts w:ascii="Times New Roman"/>
          <w:sz w:val="21"/>
          <w:szCs w:val="21"/>
        </w:rPr>
        <w:t>元素的浓度为纵坐标，绘制标准曲线。</w:t>
      </w:r>
    </w:p>
    <w:p>
      <w:pPr>
        <w:pStyle w:val="23"/>
        <w:tabs>
          <w:tab w:val="clear" w:pos="720"/>
        </w:tabs>
        <w:spacing w:before="120" w:beforeLines="50" w:after="120" w:afterLines="50"/>
        <w:ind w:left="0" w:firstLine="0"/>
        <w:jc w:val="left"/>
        <w:rPr>
          <w:rFonts w:ascii="Times New Roman" w:eastAsia="宋体"/>
          <w:szCs w:val="21"/>
        </w:rPr>
      </w:pPr>
      <w:r>
        <w:rPr>
          <w:rFonts w:ascii="Times New Roman" w:eastAsia="宋体"/>
          <w:szCs w:val="21"/>
        </w:rPr>
        <w:t>6.5试样溶液的测定</w:t>
      </w:r>
      <w:bookmarkEnd w:id="31"/>
    </w:p>
    <w:p>
      <w:pPr>
        <w:autoSpaceDE w:val="0"/>
        <w:autoSpaceDN w:val="0"/>
        <w:adjustRightInd w:val="0"/>
        <w:ind w:firstLine="420" w:firstLineChars="200"/>
        <w:jc w:val="both"/>
        <w:rPr>
          <w:rFonts w:ascii="Times New Roman"/>
          <w:sz w:val="21"/>
          <w:szCs w:val="21"/>
        </w:rPr>
      </w:pPr>
      <w:r>
        <w:rPr>
          <w:rFonts w:hint="eastAsia" w:ascii="Times New Roman"/>
          <w:sz w:val="21"/>
          <w:szCs w:val="21"/>
        </w:rPr>
        <w:t>在同样的电感耦合等离子体质谱仪工作条件下，将空白对照溶液、待测样品溶液分别与钪内标溶液混合，注入电感耦合等离子体质谱仪中，分别得到空白对照溶液、待测样品溶液中磷（P）元素与钪内标溶液中钪（Sc）信号响应值比值，</w:t>
      </w:r>
      <w:r>
        <w:rPr>
          <w:rFonts w:ascii="Times New Roman"/>
          <w:sz w:val="21"/>
          <w:szCs w:val="21"/>
        </w:rPr>
        <w:t>根据标准曲线计算待测液中磷元素的浓度。</w:t>
      </w:r>
    </w:p>
    <w:p>
      <w:pPr>
        <w:pStyle w:val="23"/>
        <w:tabs>
          <w:tab w:val="clear" w:pos="720"/>
        </w:tabs>
        <w:spacing w:before="120" w:beforeLines="50" w:after="120" w:afterLines="50"/>
        <w:ind w:left="0" w:firstLine="0"/>
        <w:jc w:val="left"/>
        <w:rPr>
          <w:rFonts w:ascii="Times New Roman" w:eastAsia="宋体"/>
          <w:szCs w:val="21"/>
        </w:rPr>
      </w:pPr>
      <w:bookmarkStart w:id="32" w:name="_Toc487536941"/>
      <w:r>
        <w:rPr>
          <w:rFonts w:ascii="Times New Roman" w:eastAsia="宋体"/>
          <w:szCs w:val="21"/>
        </w:rPr>
        <w:t>6.6分析结果的表述</w:t>
      </w:r>
      <w:bookmarkEnd w:id="32"/>
    </w:p>
    <w:p>
      <w:pPr>
        <w:autoSpaceDE w:val="0"/>
        <w:autoSpaceDN w:val="0"/>
        <w:adjustRightInd w:val="0"/>
        <w:ind w:firstLine="420" w:firstLineChars="200"/>
        <w:rPr>
          <w:rFonts w:ascii="Times New Roman"/>
          <w:sz w:val="21"/>
          <w:szCs w:val="21"/>
        </w:rPr>
      </w:pPr>
      <w:r>
        <w:rPr>
          <w:rFonts w:ascii="Times New Roman"/>
          <w:sz w:val="21"/>
          <w:szCs w:val="21"/>
        </w:rPr>
        <w:t>试样中磷的质量分数（以P</w:t>
      </w:r>
      <w:r>
        <w:rPr>
          <w:rFonts w:ascii="Times New Roman"/>
          <w:sz w:val="21"/>
          <w:szCs w:val="21"/>
          <w:vertAlign w:val="subscript"/>
        </w:rPr>
        <w:t>2</w:t>
      </w:r>
      <w:r>
        <w:rPr>
          <w:rFonts w:ascii="Times New Roman"/>
          <w:sz w:val="21"/>
          <w:szCs w:val="21"/>
        </w:rPr>
        <w:t>O</w:t>
      </w:r>
      <w:r>
        <w:rPr>
          <w:rFonts w:ascii="Times New Roman"/>
          <w:sz w:val="21"/>
          <w:szCs w:val="21"/>
          <w:vertAlign w:val="subscript"/>
        </w:rPr>
        <w:t>5</w:t>
      </w:r>
      <w:r>
        <w:rPr>
          <w:rFonts w:ascii="Times New Roman"/>
          <w:sz w:val="21"/>
          <w:szCs w:val="21"/>
        </w:rPr>
        <w:t>计）按照式（1）计算：</w:t>
      </w:r>
    </w:p>
    <w:p>
      <w:pPr>
        <w:pStyle w:val="71"/>
        <w:rPr>
          <w:rFonts w:ascii="Times New Roman"/>
          <w:szCs w:val="21"/>
        </w:rPr>
      </w:pPr>
      <w:r>
        <w:rPr>
          <w:rFonts w:ascii="Times New Roman"/>
          <w:szCs w:val="21"/>
        </w:rPr>
        <w:tab/>
      </w:r>
      <w:r>
        <w:rPr>
          <w:rFonts w:ascii="Times New Roman"/>
          <w:szCs w:val="21"/>
        </w:rPr>
        <w:t>X=</w:t>
      </w:r>
      <m:oMath>
        <m:f>
          <m:fPr>
            <m:ctrlPr>
              <w:rPr>
                <w:rFonts w:ascii="Cambria Math" w:hAnsi="Cambria Math" w:eastAsiaTheme="minorEastAsia"/>
                <w:i/>
                <w:sz w:val="28"/>
                <w:szCs w:val="28"/>
              </w:rPr>
            </m:ctrlPr>
          </m:fPr>
          <m:num>
            <m:d>
              <m:dPr>
                <m:ctrlPr>
                  <w:rPr>
                    <w:rFonts w:ascii="Cambria Math" w:hAnsi="Cambria Math" w:eastAsiaTheme="minorEastAsia"/>
                    <w:i/>
                    <w:sz w:val="28"/>
                    <w:szCs w:val="28"/>
                  </w:rPr>
                </m:ctrlPr>
              </m:dPr>
              <m:e>
                <m:r>
                  <m:rPr/>
                  <w:rPr>
                    <w:rFonts w:ascii="Cambria Math" w:hAnsi="Cambria Math" w:eastAsiaTheme="minorEastAsia"/>
                    <w:sz w:val="28"/>
                    <w:szCs w:val="28"/>
                  </w:rPr>
                  <m:t>ρ</m:t>
                </m:r>
                <m:r>
                  <m:rPr/>
                  <w:rPr>
                    <w:rFonts w:ascii="Cambria Math" w:hAnsi="Cambria Math" w:eastAsia="微软雅黑"/>
                    <w:sz w:val="28"/>
                    <w:szCs w:val="28"/>
                  </w:rPr>
                  <m:t>−</m:t>
                </m:r>
                <m:sSub>
                  <m:sSubPr>
                    <m:ctrlPr>
                      <w:rPr>
                        <w:rFonts w:ascii="Cambria Math" w:hAnsi="Cambria Math" w:eastAsiaTheme="minorEastAsia"/>
                        <w:i/>
                        <w:sz w:val="28"/>
                        <w:szCs w:val="28"/>
                      </w:rPr>
                    </m:ctrlPr>
                  </m:sSubPr>
                  <m:e>
                    <m:r>
                      <m:rPr/>
                      <w:rPr>
                        <w:rFonts w:ascii="Cambria Math" w:hAnsi="Cambria Math" w:eastAsiaTheme="minorEastAsia"/>
                        <w:sz w:val="28"/>
                        <w:szCs w:val="28"/>
                      </w:rPr>
                      <m:t>ρ</m:t>
                    </m:r>
                    <m:ctrlPr>
                      <w:rPr>
                        <w:rFonts w:ascii="Cambria Math" w:hAnsi="Cambria Math" w:eastAsiaTheme="minorEastAsia"/>
                        <w:i/>
                        <w:sz w:val="28"/>
                        <w:szCs w:val="28"/>
                      </w:rPr>
                    </m:ctrlPr>
                  </m:e>
                  <m:sub>
                    <m:r>
                      <m:rPr/>
                      <w:rPr>
                        <w:rFonts w:ascii="Cambria Math" w:hAnsi="Cambria Math" w:eastAsiaTheme="minorEastAsia"/>
                        <w:sz w:val="28"/>
                        <w:szCs w:val="28"/>
                      </w:rPr>
                      <m:t>0</m:t>
                    </m:r>
                    <m:ctrlPr>
                      <w:rPr>
                        <w:rFonts w:ascii="Cambria Math" w:hAnsi="Cambria Math" w:eastAsiaTheme="minorEastAsia"/>
                        <w:i/>
                        <w:sz w:val="28"/>
                        <w:szCs w:val="28"/>
                      </w:rPr>
                    </m:ctrlPr>
                  </m:sub>
                </m:sSub>
                <m:ctrlPr>
                  <w:rPr>
                    <w:rFonts w:ascii="Cambria Math" w:hAnsi="Cambria Math" w:eastAsiaTheme="minorEastAsia"/>
                    <w:i/>
                    <w:sz w:val="28"/>
                    <w:szCs w:val="28"/>
                  </w:rPr>
                </m:ctrlPr>
              </m:e>
            </m:d>
            <m:r>
              <m:rPr/>
              <w:rPr>
                <w:rFonts w:ascii="Cambria Math" w:hAnsi="Cambria Math" w:eastAsiaTheme="minorEastAsia"/>
                <w:sz w:val="28"/>
                <w:szCs w:val="28"/>
              </w:rPr>
              <m:t xml:space="preserve">×V×2.2913×f×0.  </m:t>
            </m:r>
            <m:r>
              <m:rPr>
                <m:sty m:val="p"/>
              </m:rPr>
              <w:rPr>
                <w:rFonts w:ascii="Cambria Math" w:hAnsi="Cambria Math" w:eastAsiaTheme="minorEastAsia"/>
                <w:sz w:val="28"/>
                <w:szCs w:val="28"/>
              </w:rPr>
              <m:t>0001</m:t>
            </m:r>
            <m:ctrlPr>
              <w:rPr>
                <w:rFonts w:ascii="Cambria Math" w:hAnsi="Cambria Math" w:eastAsiaTheme="minorEastAsia"/>
                <w:i/>
                <w:sz w:val="28"/>
                <w:szCs w:val="28"/>
              </w:rPr>
            </m:ctrlPr>
          </m:num>
          <m:den>
            <m:r>
              <m:rPr/>
              <w:rPr>
                <w:rFonts w:ascii="Cambria Math" w:hAnsi="Cambria Math" w:eastAsiaTheme="minorEastAsia"/>
                <w:sz w:val="28"/>
                <w:szCs w:val="28"/>
              </w:rPr>
              <m:t>m×1 000</m:t>
            </m:r>
            <m:ctrlPr>
              <w:rPr>
                <w:rFonts w:ascii="Cambria Math" w:hAnsi="Cambria Math" w:eastAsiaTheme="minorEastAsia"/>
                <w:i/>
                <w:sz w:val="28"/>
                <w:szCs w:val="28"/>
              </w:rPr>
            </m:ctrlPr>
          </m:den>
        </m:f>
      </m:oMath>
      <w:r>
        <w:rPr>
          <w:rFonts w:ascii="Times New Roman"/>
          <w:szCs w:val="21"/>
        </w:rPr>
        <w:tab/>
      </w:r>
      <w:r>
        <w:rPr>
          <w:rFonts w:ascii="Times New Roman"/>
          <w:szCs w:val="21"/>
        </w:rPr>
        <w:t>(</w:t>
      </w:r>
      <w:r>
        <w:rPr>
          <w:rFonts w:ascii="Times New Roman"/>
          <w:szCs w:val="21"/>
        </w:rPr>
        <w:fldChar w:fldCharType="begin"/>
      </w:r>
      <w:r>
        <w:rPr>
          <w:rFonts w:ascii="Times New Roman"/>
          <w:szCs w:val="21"/>
        </w:rPr>
        <w:instrText xml:space="preserve"> SEQ 标准自动公式 \* ARABIC </w:instrText>
      </w:r>
      <w:r>
        <w:rPr>
          <w:rFonts w:ascii="Times New Roman"/>
          <w:szCs w:val="21"/>
        </w:rPr>
        <w:fldChar w:fldCharType="separate"/>
      </w:r>
      <w:r>
        <w:rPr>
          <w:rFonts w:ascii="Times New Roman"/>
          <w:szCs w:val="21"/>
        </w:rPr>
        <w:t>1</w:t>
      </w:r>
      <w:r>
        <w:rPr>
          <w:rFonts w:ascii="Times New Roman"/>
          <w:szCs w:val="21"/>
        </w:rPr>
        <w:fldChar w:fldCharType="end"/>
      </w:r>
      <w:r>
        <w:rPr>
          <w:rFonts w:ascii="Times New Roman"/>
          <w:szCs w:val="21"/>
        </w:rPr>
        <w:t>)</w:t>
      </w:r>
    </w:p>
    <w:p>
      <w:pPr>
        <w:pStyle w:val="20"/>
        <w:ind w:firstLine="420"/>
        <w:rPr>
          <w:rFonts w:ascii="Times New Roman"/>
          <w:szCs w:val="21"/>
        </w:rPr>
      </w:pPr>
      <w:r>
        <w:rPr>
          <w:rFonts w:ascii="Times New Roman"/>
          <w:szCs w:val="21"/>
        </w:rPr>
        <w:t>式中：</w:t>
      </w:r>
    </w:p>
    <w:p>
      <w:pPr>
        <w:autoSpaceDE w:val="0"/>
        <w:autoSpaceDN w:val="0"/>
        <w:adjustRightInd w:val="0"/>
        <w:rPr>
          <w:rFonts w:ascii="Times New Roman"/>
          <w:sz w:val="21"/>
          <w:szCs w:val="21"/>
        </w:rPr>
      </w:pPr>
      <w:r>
        <w:rPr>
          <w:rFonts w:ascii="Times New Roman"/>
          <w:sz w:val="21"/>
          <w:szCs w:val="21"/>
        </w:rPr>
        <w:t>X—试样中磷的质量分数（以P</w:t>
      </w:r>
      <w:r>
        <w:rPr>
          <w:rFonts w:ascii="Times New Roman"/>
          <w:sz w:val="21"/>
          <w:szCs w:val="21"/>
          <w:vertAlign w:val="subscript"/>
        </w:rPr>
        <w:t>2</w:t>
      </w:r>
      <w:r>
        <w:rPr>
          <w:rFonts w:ascii="Times New Roman"/>
          <w:sz w:val="21"/>
          <w:szCs w:val="21"/>
        </w:rPr>
        <w:t>O</w:t>
      </w:r>
      <w:r>
        <w:rPr>
          <w:rFonts w:ascii="Times New Roman"/>
          <w:sz w:val="21"/>
          <w:szCs w:val="21"/>
          <w:vertAlign w:val="subscript"/>
        </w:rPr>
        <w:t>5</w:t>
      </w:r>
      <w:r>
        <w:rPr>
          <w:rFonts w:ascii="Times New Roman"/>
          <w:sz w:val="21"/>
          <w:szCs w:val="21"/>
        </w:rPr>
        <w:t>计）的质量分数，单位为百分数（%）；</w:t>
      </w:r>
    </w:p>
    <w:p>
      <w:pPr>
        <w:autoSpaceDE w:val="0"/>
        <w:autoSpaceDN w:val="0"/>
        <w:adjustRightInd w:val="0"/>
        <w:rPr>
          <w:rFonts w:ascii="Times New Roman"/>
          <w:sz w:val="21"/>
          <w:szCs w:val="21"/>
        </w:rPr>
      </w:pPr>
      <w:r>
        <w:rPr>
          <w:rFonts w:ascii="Times New Roman"/>
          <w:i/>
          <w:iCs/>
          <w:sz w:val="21"/>
          <w:szCs w:val="21"/>
        </w:rPr>
        <w:t>ρ</w:t>
      </w:r>
      <w:r>
        <w:rPr>
          <w:rFonts w:ascii="Times New Roman"/>
          <w:sz w:val="21"/>
          <w:szCs w:val="21"/>
        </w:rPr>
        <w:t>—试样溶液中磷元素质量浓度，单位为微克每升（μg/L）；</w:t>
      </w:r>
    </w:p>
    <w:p>
      <w:pPr>
        <w:autoSpaceDE w:val="0"/>
        <w:autoSpaceDN w:val="0"/>
        <w:adjustRightInd w:val="0"/>
        <w:rPr>
          <w:rFonts w:ascii="Times New Roman"/>
          <w:sz w:val="21"/>
          <w:szCs w:val="21"/>
        </w:rPr>
      </w:pPr>
      <w:r>
        <w:rPr>
          <w:rFonts w:ascii="Times New Roman"/>
          <w:i/>
          <w:iCs/>
          <w:sz w:val="21"/>
          <w:szCs w:val="21"/>
        </w:rPr>
        <w:t>ρ</w:t>
      </w:r>
      <w:r>
        <w:rPr>
          <w:rFonts w:ascii="Times New Roman"/>
          <w:sz w:val="21"/>
          <w:szCs w:val="21"/>
          <w:vertAlign w:val="subscript"/>
        </w:rPr>
        <w:t>0</w:t>
      </w:r>
      <w:r>
        <w:rPr>
          <w:rFonts w:ascii="Times New Roman"/>
          <w:sz w:val="21"/>
          <w:szCs w:val="21"/>
        </w:rPr>
        <w:t>—试样空白液中磷元素质量浓度，单位为微克每升（μg/L）；</w:t>
      </w:r>
    </w:p>
    <w:p>
      <w:pPr>
        <w:autoSpaceDE w:val="0"/>
        <w:autoSpaceDN w:val="0"/>
        <w:adjustRightInd w:val="0"/>
        <w:rPr>
          <w:rFonts w:ascii="Times New Roman"/>
          <w:sz w:val="21"/>
          <w:szCs w:val="21"/>
        </w:rPr>
      </w:pPr>
      <w:r>
        <w:rPr>
          <w:rFonts w:ascii="Times New Roman"/>
          <w:i/>
          <w:iCs/>
          <w:sz w:val="21"/>
          <w:szCs w:val="21"/>
        </w:rPr>
        <w:t>V</w:t>
      </w:r>
      <w:r>
        <w:rPr>
          <w:rFonts w:ascii="Times New Roman"/>
          <w:sz w:val="21"/>
          <w:szCs w:val="21"/>
        </w:rPr>
        <w:t>—试样消化液定容体积，单位为毫升（mL）；</w:t>
      </w:r>
    </w:p>
    <w:p>
      <w:pPr>
        <w:autoSpaceDE w:val="0"/>
        <w:autoSpaceDN w:val="0"/>
        <w:adjustRightInd w:val="0"/>
        <w:rPr>
          <w:rFonts w:ascii="Times New Roman"/>
          <w:sz w:val="21"/>
          <w:szCs w:val="21"/>
        </w:rPr>
      </w:pPr>
      <w:r>
        <w:rPr>
          <w:rFonts w:ascii="Times New Roman"/>
          <w:sz w:val="21"/>
          <w:szCs w:val="21"/>
        </w:rPr>
        <w:t>2.2913—磷质量换算为五氧化二磷质量的系数；</w:t>
      </w:r>
    </w:p>
    <w:p>
      <w:pPr>
        <w:autoSpaceDE w:val="0"/>
        <w:autoSpaceDN w:val="0"/>
        <w:adjustRightInd w:val="0"/>
        <w:rPr>
          <w:rFonts w:ascii="Times New Roman"/>
          <w:sz w:val="21"/>
          <w:szCs w:val="21"/>
        </w:rPr>
      </w:pPr>
      <w:r>
        <w:rPr>
          <w:rFonts w:ascii="Times New Roman"/>
          <w:sz w:val="21"/>
          <w:szCs w:val="21"/>
        </w:rPr>
        <w:t>0.0001—毫克每千克（mg/kg）转化为百分数（%）的系数；</w:t>
      </w:r>
    </w:p>
    <w:p>
      <w:pPr>
        <w:autoSpaceDE w:val="0"/>
        <w:autoSpaceDN w:val="0"/>
        <w:adjustRightInd w:val="0"/>
        <w:rPr>
          <w:rFonts w:ascii="Times New Roman"/>
          <w:sz w:val="21"/>
          <w:szCs w:val="21"/>
        </w:rPr>
      </w:pPr>
      <w:r>
        <w:rPr>
          <w:rFonts w:ascii="Times New Roman"/>
          <w:sz w:val="21"/>
          <w:szCs w:val="21"/>
        </w:rPr>
        <w:t>1000—毫升（mL）转化为升（L）的系数；</w:t>
      </w:r>
    </w:p>
    <w:p>
      <w:pPr>
        <w:autoSpaceDE w:val="0"/>
        <w:autoSpaceDN w:val="0"/>
        <w:adjustRightInd w:val="0"/>
        <w:rPr>
          <w:rFonts w:ascii="Times New Roman"/>
          <w:sz w:val="21"/>
          <w:szCs w:val="21"/>
        </w:rPr>
      </w:pPr>
      <w:r>
        <w:rPr>
          <w:rFonts w:ascii="Times New Roman"/>
          <w:i/>
          <w:iCs/>
          <w:sz w:val="21"/>
          <w:szCs w:val="21"/>
        </w:rPr>
        <w:t>f</w:t>
      </w:r>
      <w:r>
        <w:rPr>
          <w:rFonts w:ascii="Times New Roman"/>
          <w:sz w:val="21"/>
          <w:szCs w:val="21"/>
        </w:rPr>
        <w:t>—试样稀释倍数；</w:t>
      </w:r>
    </w:p>
    <w:p>
      <w:pPr>
        <w:autoSpaceDE w:val="0"/>
        <w:autoSpaceDN w:val="0"/>
        <w:adjustRightInd w:val="0"/>
        <w:rPr>
          <w:rFonts w:ascii="Times New Roman"/>
          <w:sz w:val="21"/>
          <w:szCs w:val="21"/>
        </w:rPr>
      </w:pPr>
      <w:r>
        <w:rPr>
          <w:rFonts w:ascii="Times New Roman"/>
          <w:i/>
          <w:iCs/>
          <w:sz w:val="21"/>
          <w:szCs w:val="21"/>
        </w:rPr>
        <w:t>m</w:t>
      </w:r>
      <w:r>
        <w:rPr>
          <w:rFonts w:ascii="Times New Roman"/>
          <w:sz w:val="21"/>
          <w:szCs w:val="21"/>
        </w:rPr>
        <w:t>—试样称取质量，单位为克（g）；</w:t>
      </w:r>
    </w:p>
    <w:p>
      <w:pPr>
        <w:autoSpaceDE w:val="0"/>
        <w:autoSpaceDN w:val="0"/>
        <w:adjustRightInd w:val="0"/>
        <w:ind w:firstLine="420" w:firstLineChars="200"/>
        <w:rPr>
          <w:rFonts w:ascii="Times New Roman"/>
          <w:szCs w:val="21"/>
        </w:rPr>
      </w:pPr>
      <w:r>
        <w:rPr>
          <w:rFonts w:ascii="Times New Roman"/>
          <w:sz w:val="21"/>
          <w:szCs w:val="21"/>
        </w:rPr>
        <w:t>计算结果以重复性条件下获得的两次独立测定结果的算术平均值表示，结果保留二位有效数字。</w:t>
      </w:r>
    </w:p>
    <w:p>
      <w:pPr>
        <w:pStyle w:val="24"/>
        <w:spacing w:before="240" w:beforeLines="100" w:after="240" w:afterLines="100"/>
        <w:rPr>
          <w:rFonts w:ascii="Times New Roman" w:eastAsia="宋体"/>
          <w:szCs w:val="21"/>
        </w:rPr>
      </w:pPr>
      <w:r>
        <w:rPr>
          <w:rFonts w:ascii="Times New Roman" w:eastAsia="宋体"/>
          <w:szCs w:val="21"/>
        </w:rPr>
        <w:t xml:space="preserve">7 </w:t>
      </w:r>
      <w:bookmarkStart w:id="33" w:name="_Toc487536942"/>
      <w:r>
        <w:rPr>
          <w:rFonts w:ascii="Times New Roman" w:eastAsia="宋体"/>
          <w:szCs w:val="21"/>
        </w:rPr>
        <w:t>精密度</w:t>
      </w:r>
      <w:bookmarkEnd w:id="33"/>
    </w:p>
    <w:p>
      <w:pPr>
        <w:autoSpaceDE w:val="0"/>
        <w:autoSpaceDN w:val="0"/>
        <w:adjustRightInd w:val="0"/>
        <w:ind w:firstLine="420" w:firstLineChars="200"/>
        <w:rPr>
          <w:rFonts w:ascii="Times New Roman"/>
          <w:sz w:val="21"/>
          <w:szCs w:val="21"/>
        </w:rPr>
      </w:pPr>
      <w:bookmarkStart w:id="34" w:name="_Toc487536943"/>
      <w:r>
        <w:rPr>
          <w:rFonts w:ascii="Times New Roman"/>
          <w:sz w:val="21"/>
          <w:szCs w:val="21"/>
        </w:rPr>
        <w:t>在重复性条件下获得的两次独立测定结果的绝对差值不大于两个测定值的算术平均值的5%。</w:t>
      </w:r>
    </w:p>
    <w:p>
      <w:pPr>
        <w:pStyle w:val="24"/>
        <w:spacing w:before="240" w:beforeLines="100" w:after="240" w:afterLines="100"/>
        <w:rPr>
          <w:rFonts w:ascii="Times New Roman" w:eastAsia="宋体"/>
          <w:szCs w:val="21"/>
        </w:rPr>
      </w:pPr>
      <w:r>
        <w:rPr>
          <w:rFonts w:ascii="Times New Roman" w:eastAsia="宋体"/>
          <w:szCs w:val="21"/>
        </w:rPr>
        <w:t>8</w:t>
      </w:r>
      <w:bookmarkEnd w:id="34"/>
      <w:r>
        <w:rPr>
          <w:rFonts w:ascii="Times New Roman" w:eastAsia="宋体"/>
          <w:szCs w:val="21"/>
        </w:rPr>
        <w:t xml:space="preserve"> 磷（以P</w:t>
      </w:r>
      <w:r>
        <w:rPr>
          <w:rFonts w:ascii="Times New Roman" w:eastAsia="宋体"/>
          <w:szCs w:val="21"/>
          <w:vertAlign w:val="subscript"/>
        </w:rPr>
        <w:t>2</w:t>
      </w:r>
      <w:r>
        <w:rPr>
          <w:rFonts w:ascii="Times New Roman" w:eastAsia="宋体"/>
          <w:szCs w:val="21"/>
        </w:rPr>
        <w:t>O</w:t>
      </w:r>
      <w:r>
        <w:rPr>
          <w:rFonts w:ascii="Times New Roman" w:eastAsia="宋体"/>
          <w:szCs w:val="21"/>
          <w:vertAlign w:val="subscript"/>
        </w:rPr>
        <w:t>5</w:t>
      </w:r>
      <w:r>
        <w:rPr>
          <w:rFonts w:ascii="Times New Roman" w:eastAsia="宋体"/>
          <w:szCs w:val="21"/>
        </w:rPr>
        <w:t>计）的检出限和定量限</w:t>
      </w:r>
    </w:p>
    <w:p>
      <w:pPr>
        <w:pStyle w:val="76"/>
        <w:numPr>
          <w:ilvl w:val="0"/>
          <w:numId w:val="1"/>
        </w:numPr>
        <w:spacing w:before="120" w:after="120"/>
        <w:rPr>
          <w:rFonts w:ascii="Times New Roman" w:eastAsia="宋体"/>
          <w:szCs w:val="21"/>
        </w:rPr>
      </w:pPr>
      <w:r>
        <w:rPr>
          <w:rFonts w:ascii="Times New Roman" w:eastAsia="宋体"/>
          <w:szCs w:val="21"/>
        </w:rPr>
        <w:t>磷（以P</w:t>
      </w:r>
      <w:r>
        <w:rPr>
          <w:rFonts w:ascii="Times New Roman" w:eastAsia="宋体"/>
          <w:szCs w:val="21"/>
          <w:vertAlign w:val="subscript"/>
        </w:rPr>
        <w:t>2</w:t>
      </w:r>
      <w:r>
        <w:rPr>
          <w:rFonts w:ascii="Times New Roman" w:eastAsia="宋体"/>
          <w:szCs w:val="21"/>
        </w:rPr>
        <w:t>O</w:t>
      </w:r>
      <w:r>
        <w:rPr>
          <w:rFonts w:ascii="Times New Roman" w:eastAsia="宋体"/>
          <w:szCs w:val="21"/>
          <w:vertAlign w:val="subscript"/>
        </w:rPr>
        <w:t>5</w:t>
      </w:r>
      <w:r>
        <w:rPr>
          <w:rFonts w:ascii="Times New Roman" w:eastAsia="宋体"/>
          <w:szCs w:val="21"/>
        </w:rPr>
        <w:t>计）的检出限和定量限</w:t>
      </w:r>
    </w:p>
    <w:tbl>
      <w:tblPr>
        <w:tblStyle w:val="1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255"/>
        <w:gridCol w:w="3079"/>
        <w:gridCol w:w="23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8" w:space="0"/>
              <w:bottom w:val="single" w:color="auto" w:sz="8" w:space="0"/>
            </w:tcBorders>
          </w:tcPr>
          <w:p>
            <w:pPr>
              <w:autoSpaceDE w:val="0"/>
              <w:autoSpaceDN w:val="0"/>
              <w:adjustRightInd w:val="0"/>
              <w:jc w:val="center"/>
              <w:rPr>
                <w:rFonts w:ascii="Times New Roman"/>
                <w:sz w:val="21"/>
                <w:szCs w:val="21"/>
              </w:rPr>
            </w:pPr>
            <w:r>
              <w:rPr>
                <w:rFonts w:ascii="Times New Roman"/>
                <w:sz w:val="21"/>
                <w:szCs w:val="21"/>
              </w:rPr>
              <w:t>序号</w:t>
            </w:r>
          </w:p>
        </w:tc>
        <w:tc>
          <w:tcPr>
            <w:tcW w:w="3255" w:type="dxa"/>
            <w:tcBorders>
              <w:top w:val="single" w:color="auto" w:sz="8" w:space="0"/>
              <w:bottom w:val="single" w:color="auto" w:sz="8" w:space="0"/>
            </w:tcBorders>
          </w:tcPr>
          <w:p>
            <w:pPr>
              <w:autoSpaceDE w:val="0"/>
              <w:autoSpaceDN w:val="0"/>
              <w:adjustRightInd w:val="0"/>
              <w:rPr>
                <w:rFonts w:ascii="Times New Roman"/>
                <w:sz w:val="21"/>
                <w:szCs w:val="21"/>
              </w:rPr>
            </w:pPr>
            <w:r>
              <w:rPr>
                <w:rFonts w:ascii="Times New Roman"/>
                <w:sz w:val="21"/>
                <w:szCs w:val="21"/>
              </w:rPr>
              <w:t>被测组分</w:t>
            </w:r>
          </w:p>
        </w:tc>
        <w:tc>
          <w:tcPr>
            <w:tcW w:w="3079" w:type="dxa"/>
            <w:tcBorders>
              <w:top w:val="single" w:color="auto" w:sz="8" w:space="0"/>
              <w:bottom w:val="single" w:color="auto" w:sz="8" w:space="0"/>
            </w:tcBorders>
          </w:tcPr>
          <w:p>
            <w:pPr>
              <w:autoSpaceDE w:val="0"/>
              <w:autoSpaceDN w:val="0"/>
              <w:adjustRightInd w:val="0"/>
              <w:rPr>
                <w:rFonts w:ascii="Times New Roman"/>
                <w:sz w:val="21"/>
                <w:szCs w:val="21"/>
              </w:rPr>
            </w:pPr>
            <w:r>
              <w:rPr>
                <w:rFonts w:ascii="Times New Roman"/>
                <w:sz w:val="21"/>
                <w:szCs w:val="21"/>
              </w:rPr>
              <w:t>方法检出限（mg/kg）</w:t>
            </w:r>
          </w:p>
        </w:tc>
        <w:tc>
          <w:tcPr>
            <w:tcW w:w="2393" w:type="dxa"/>
            <w:tcBorders>
              <w:top w:val="single" w:color="auto" w:sz="8" w:space="0"/>
              <w:bottom w:val="single" w:color="auto" w:sz="8" w:space="0"/>
            </w:tcBorders>
          </w:tcPr>
          <w:p>
            <w:pPr>
              <w:autoSpaceDE w:val="0"/>
              <w:autoSpaceDN w:val="0"/>
              <w:adjustRightInd w:val="0"/>
              <w:rPr>
                <w:rFonts w:ascii="Times New Roman"/>
                <w:sz w:val="21"/>
                <w:szCs w:val="21"/>
              </w:rPr>
            </w:pPr>
            <w:r>
              <w:rPr>
                <w:rFonts w:ascii="Times New Roman"/>
                <w:sz w:val="21"/>
                <w:szCs w:val="21"/>
              </w:rPr>
              <w:t>方法定量限（mg/kg）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tcPr>
          <w:p>
            <w:pPr>
              <w:jc w:val="center"/>
              <w:rPr>
                <w:rFonts w:ascii="Times New Roman"/>
                <w:sz w:val="21"/>
                <w:szCs w:val="21"/>
              </w:rPr>
            </w:pPr>
            <w:r>
              <w:rPr>
                <w:rFonts w:ascii="Times New Roman"/>
                <w:sz w:val="21"/>
                <w:szCs w:val="21"/>
              </w:rPr>
              <w:t>1</w:t>
            </w:r>
          </w:p>
        </w:tc>
        <w:tc>
          <w:tcPr>
            <w:tcW w:w="3255" w:type="dxa"/>
            <w:vAlign w:val="center"/>
          </w:tcPr>
          <w:p>
            <w:pPr>
              <w:rPr>
                <w:rFonts w:ascii="Times New Roman"/>
                <w:sz w:val="21"/>
                <w:szCs w:val="21"/>
              </w:rPr>
            </w:pPr>
            <w:r>
              <w:rPr>
                <w:rFonts w:ascii="Times New Roman"/>
                <w:sz w:val="21"/>
                <w:szCs w:val="21"/>
              </w:rPr>
              <w:t>磷（以P</w:t>
            </w:r>
            <w:r>
              <w:rPr>
                <w:rFonts w:ascii="Times New Roman"/>
                <w:sz w:val="21"/>
                <w:szCs w:val="21"/>
                <w:vertAlign w:val="subscript"/>
              </w:rPr>
              <w:t>2</w:t>
            </w:r>
            <w:r>
              <w:rPr>
                <w:rFonts w:ascii="Times New Roman"/>
                <w:sz w:val="21"/>
                <w:szCs w:val="21"/>
              </w:rPr>
              <w:t>O</w:t>
            </w:r>
            <w:r>
              <w:rPr>
                <w:rFonts w:ascii="Times New Roman"/>
                <w:sz w:val="21"/>
                <w:szCs w:val="21"/>
                <w:vertAlign w:val="subscript"/>
              </w:rPr>
              <w:t>5</w:t>
            </w:r>
            <w:r>
              <w:rPr>
                <w:rFonts w:ascii="Times New Roman"/>
                <w:sz w:val="21"/>
                <w:szCs w:val="21"/>
              </w:rPr>
              <w:t>计）</w:t>
            </w:r>
          </w:p>
        </w:tc>
        <w:tc>
          <w:tcPr>
            <w:tcW w:w="3079" w:type="dxa"/>
          </w:tcPr>
          <w:p>
            <w:pPr>
              <w:rPr>
                <w:rFonts w:ascii="Times New Roman"/>
                <w:sz w:val="21"/>
                <w:szCs w:val="21"/>
              </w:rPr>
            </w:pPr>
            <w:r>
              <w:rPr>
                <w:rFonts w:ascii="Times New Roman"/>
                <w:sz w:val="21"/>
                <w:szCs w:val="21"/>
              </w:rPr>
              <w:t>0.2</w:t>
            </w:r>
          </w:p>
        </w:tc>
        <w:tc>
          <w:tcPr>
            <w:tcW w:w="2393" w:type="dxa"/>
          </w:tcPr>
          <w:p>
            <w:pPr>
              <w:rPr>
                <w:rFonts w:ascii="Times New Roman"/>
                <w:sz w:val="21"/>
                <w:szCs w:val="21"/>
              </w:rPr>
            </w:pPr>
            <w:r>
              <w:rPr>
                <w:rFonts w:ascii="Times New Roman"/>
                <w:sz w:val="21"/>
                <w:szCs w:val="21"/>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tcBorders>
              <w:top w:val="single" w:color="auto" w:sz="4" w:space="0"/>
              <w:bottom w:val="single" w:color="auto" w:sz="8" w:space="0"/>
            </w:tcBorders>
          </w:tcPr>
          <w:p>
            <w:pPr>
              <w:pStyle w:val="69"/>
              <w:numPr>
                <w:ilvl w:val="0"/>
                <w:numId w:val="2"/>
              </w:numPr>
              <w:rPr>
                <w:rFonts w:ascii="Times New Roman"/>
                <w:sz w:val="21"/>
                <w:szCs w:val="21"/>
              </w:rPr>
            </w:pPr>
            <w:r>
              <w:rPr>
                <w:rFonts w:ascii="Times New Roman"/>
                <w:sz w:val="21"/>
                <w:szCs w:val="21"/>
              </w:rPr>
              <w:t>以称样量为0.2g，定容体积为50 mL计算。</w:t>
            </w:r>
          </w:p>
        </w:tc>
      </w:tr>
    </w:tbl>
    <w:p>
      <w:pPr>
        <w:pStyle w:val="72"/>
        <w:numPr>
          <w:ilvl w:val="0"/>
          <w:numId w:val="3"/>
        </w:numPr>
        <w:rPr>
          <w:color w:val="auto"/>
          <w:szCs w:val="21"/>
        </w:rPr>
      </w:pPr>
    </w:p>
    <w:p>
      <w:pPr>
        <w:pStyle w:val="73"/>
        <w:numPr>
          <w:ilvl w:val="0"/>
          <w:numId w:val="4"/>
        </w:numPr>
        <w:ind w:left="0" w:firstLine="363"/>
        <w:rPr>
          <w:color w:val="auto"/>
          <w:szCs w:val="21"/>
        </w:rPr>
      </w:pPr>
    </w:p>
    <w:p>
      <w:pPr>
        <w:pStyle w:val="72"/>
        <w:numPr>
          <w:ilvl w:val="0"/>
          <w:numId w:val="3"/>
        </w:numPr>
        <w:rPr>
          <w:color w:val="auto"/>
          <w:szCs w:val="21"/>
        </w:rPr>
      </w:pPr>
    </w:p>
    <w:p>
      <w:pPr>
        <w:pStyle w:val="70"/>
        <w:numPr>
          <w:ilvl w:val="0"/>
          <w:numId w:val="5"/>
        </w:numPr>
        <w:rPr>
          <w:rFonts w:ascii="Times New Roman" w:eastAsia="宋体"/>
          <w:szCs w:val="21"/>
        </w:rPr>
      </w:pPr>
      <w:r>
        <w:rPr>
          <w:rFonts w:ascii="Times New Roman" w:eastAsia="宋体"/>
          <w:szCs w:val="21"/>
        </w:rPr>
        <w:br w:type="textWrapping"/>
      </w:r>
      <w:bookmarkStart w:id="35" w:name="_Toc487536944"/>
      <w:r>
        <w:rPr>
          <w:rFonts w:ascii="Times New Roman" w:eastAsia="宋体"/>
          <w:szCs w:val="21"/>
        </w:rPr>
        <w:t>（资料性）</w:t>
      </w:r>
      <w:r>
        <w:rPr>
          <w:rFonts w:ascii="Times New Roman" w:eastAsia="宋体"/>
          <w:szCs w:val="21"/>
        </w:rPr>
        <w:br w:type="textWrapping"/>
      </w:r>
      <w:r>
        <w:rPr>
          <w:rFonts w:ascii="Times New Roman" w:eastAsia="宋体"/>
          <w:szCs w:val="21"/>
        </w:rPr>
        <w:t>标准溶液和内标溶液使用液</w:t>
      </w:r>
      <w:bookmarkEnd w:id="35"/>
    </w:p>
    <w:p>
      <w:pPr>
        <w:pStyle w:val="77"/>
        <w:ind w:left="420" w:firstLine="0"/>
        <w:rPr>
          <w:rFonts w:ascii="Times New Roman"/>
          <w:szCs w:val="21"/>
        </w:rPr>
      </w:pPr>
      <w:r>
        <w:rPr>
          <w:rFonts w:ascii="Times New Roman"/>
          <w:szCs w:val="21"/>
        </w:rPr>
        <w:t>A.1  磷（P）标准系列溶液质量浓度</w:t>
      </w:r>
    </w:p>
    <w:p>
      <w:pPr>
        <w:pStyle w:val="74"/>
        <w:spacing w:before="120" w:after="120"/>
        <w:ind w:left="0" w:firstLine="0"/>
        <w:rPr>
          <w:rFonts w:ascii="Times New Roman" w:eastAsia="宋体"/>
        </w:rPr>
      </w:pPr>
      <w:r>
        <w:rPr>
          <w:rFonts w:ascii="Times New Roman" w:eastAsia="宋体"/>
        </w:rPr>
        <w:t>表A.1  磷（P）的标准系列溶液质量浓度</w:t>
      </w:r>
    </w:p>
    <w:tbl>
      <w:tblPr>
        <w:tblStyle w:val="12"/>
        <w:tblW w:w="957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70"/>
        <w:gridCol w:w="1262"/>
        <w:gridCol w:w="1262"/>
        <w:gridCol w:w="1262"/>
        <w:gridCol w:w="1262"/>
        <w:gridCol w:w="1262"/>
        <w:gridCol w:w="12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28" w:type="dxa"/>
            <w:vMerge w:val="restart"/>
            <w:tcBorders>
              <w:top w:val="single" w:color="auto" w:sz="8" w:space="0"/>
            </w:tcBorders>
          </w:tcPr>
          <w:p>
            <w:pPr>
              <w:autoSpaceDE w:val="0"/>
              <w:autoSpaceDN w:val="0"/>
              <w:adjustRightInd w:val="0"/>
              <w:jc w:val="center"/>
              <w:rPr>
                <w:rFonts w:ascii="Times New Roman"/>
                <w:sz w:val="21"/>
                <w:szCs w:val="21"/>
              </w:rPr>
            </w:pPr>
            <w:r>
              <w:rPr>
                <w:rFonts w:ascii="Times New Roman"/>
                <w:sz w:val="21"/>
                <w:szCs w:val="21"/>
              </w:rPr>
              <w:t>序号</w:t>
            </w:r>
          </w:p>
        </w:tc>
        <w:tc>
          <w:tcPr>
            <w:tcW w:w="1470" w:type="dxa"/>
            <w:vMerge w:val="restart"/>
            <w:tcBorders>
              <w:top w:val="single" w:color="auto" w:sz="8" w:space="0"/>
            </w:tcBorders>
          </w:tcPr>
          <w:p>
            <w:pPr>
              <w:rPr>
                <w:rFonts w:ascii="Times New Roman"/>
                <w:sz w:val="21"/>
                <w:szCs w:val="21"/>
              </w:rPr>
            </w:pPr>
            <w:r>
              <w:rPr>
                <w:rFonts w:ascii="Times New Roman"/>
                <w:sz w:val="21"/>
                <w:szCs w:val="21"/>
              </w:rPr>
              <w:t>目标元素</w:t>
            </w:r>
          </w:p>
        </w:tc>
        <w:tc>
          <w:tcPr>
            <w:tcW w:w="7572" w:type="dxa"/>
            <w:gridSpan w:val="6"/>
            <w:tcBorders>
              <w:top w:val="single" w:color="auto" w:sz="8" w:space="0"/>
              <w:bottom w:val="single" w:color="auto" w:sz="8" w:space="0"/>
            </w:tcBorders>
          </w:tcPr>
          <w:p>
            <w:pPr>
              <w:ind w:firstLine="2625" w:firstLineChars="1250"/>
              <w:rPr>
                <w:rFonts w:ascii="Times New Roman"/>
                <w:sz w:val="21"/>
                <w:szCs w:val="21"/>
              </w:rPr>
            </w:pPr>
            <w:r>
              <w:rPr>
                <w:rFonts w:ascii="Times New Roman"/>
                <w:sz w:val="21"/>
                <w:szCs w:val="21"/>
              </w:rPr>
              <w:t>标准系列质量浓度（μg/L）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pPr>
              <w:autoSpaceDE w:val="0"/>
              <w:autoSpaceDN w:val="0"/>
              <w:adjustRightInd w:val="0"/>
              <w:jc w:val="center"/>
              <w:rPr>
                <w:rFonts w:ascii="Times New Roman"/>
                <w:sz w:val="21"/>
                <w:szCs w:val="21"/>
              </w:rPr>
            </w:pPr>
          </w:p>
        </w:tc>
        <w:tc>
          <w:tcPr>
            <w:tcW w:w="1470" w:type="dxa"/>
            <w:vMerge w:val="continue"/>
            <w:vAlign w:val="center"/>
          </w:tcPr>
          <w:p>
            <w:pPr>
              <w:rPr>
                <w:rFonts w:ascii="Times New Roman"/>
                <w:sz w:val="21"/>
                <w:szCs w:val="21"/>
              </w:rPr>
            </w:pPr>
          </w:p>
        </w:tc>
        <w:tc>
          <w:tcPr>
            <w:tcW w:w="1262" w:type="dxa"/>
            <w:tcBorders>
              <w:top w:val="single" w:color="auto" w:sz="8" w:space="0"/>
            </w:tcBorders>
          </w:tcPr>
          <w:p>
            <w:pPr>
              <w:rPr>
                <w:rFonts w:ascii="Times New Roman"/>
                <w:sz w:val="21"/>
                <w:szCs w:val="21"/>
              </w:rPr>
            </w:pPr>
            <w:r>
              <w:rPr>
                <w:rFonts w:ascii="Times New Roman"/>
                <w:sz w:val="21"/>
                <w:szCs w:val="21"/>
              </w:rPr>
              <w:t>N0</w:t>
            </w:r>
          </w:p>
        </w:tc>
        <w:tc>
          <w:tcPr>
            <w:tcW w:w="1262" w:type="dxa"/>
            <w:tcBorders>
              <w:top w:val="single" w:color="auto" w:sz="8" w:space="0"/>
            </w:tcBorders>
          </w:tcPr>
          <w:p>
            <w:pPr>
              <w:rPr>
                <w:rFonts w:ascii="Times New Roman"/>
                <w:sz w:val="21"/>
                <w:szCs w:val="21"/>
              </w:rPr>
            </w:pPr>
            <w:r>
              <w:rPr>
                <w:rFonts w:ascii="Times New Roman"/>
                <w:sz w:val="21"/>
                <w:szCs w:val="21"/>
              </w:rPr>
              <w:t>N1</w:t>
            </w:r>
          </w:p>
        </w:tc>
        <w:tc>
          <w:tcPr>
            <w:tcW w:w="1262" w:type="dxa"/>
            <w:tcBorders>
              <w:top w:val="single" w:color="auto" w:sz="8" w:space="0"/>
            </w:tcBorders>
          </w:tcPr>
          <w:p>
            <w:pPr>
              <w:rPr>
                <w:rFonts w:ascii="Times New Roman"/>
                <w:sz w:val="21"/>
                <w:szCs w:val="21"/>
              </w:rPr>
            </w:pPr>
            <w:r>
              <w:rPr>
                <w:rFonts w:ascii="Times New Roman"/>
                <w:sz w:val="21"/>
                <w:szCs w:val="21"/>
              </w:rPr>
              <w:t>N2</w:t>
            </w:r>
          </w:p>
        </w:tc>
        <w:tc>
          <w:tcPr>
            <w:tcW w:w="1262" w:type="dxa"/>
            <w:tcBorders>
              <w:top w:val="single" w:color="auto" w:sz="8" w:space="0"/>
            </w:tcBorders>
          </w:tcPr>
          <w:p>
            <w:pPr>
              <w:rPr>
                <w:rFonts w:ascii="Times New Roman"/>
                <w:sz w:val="21"/>
                <w:szCs w:val="21"/>
              </w:rPr>
            </w:pPr>
            <w:r>
              <w:rPr>
                <w:rFonts w:ascii="Times New Roman"/>
                <w:sz w:val="21"/>
                <w:szCs w:val="21"/>
              </w:rPr>
              <w:t>N3</w:t>
            </w:r>
          </w:p>
        </w:tc>
        <w:tc>
          <w:tcPr>
            <w:tcW w:w="1262" w:type="dxa"/>
            <w:tcBorders>
              <w:top w:val="single" w:color="auto" w:sz="8" w:space="0"/>
            </w:tcBorders>
          </w:tcPr>
          <w:p>
            <w:pPr>
              <w:rPr>
                <w:rFonts w:ascii="Times New Roman"/>
                <w:sz w:val="21"/>
                <w:szCs w:val="21"/>
              </w:rPr>
            </w:pPr>
            <w:r>
              <w:rPr>
                <w:rFonts w:ascii="Times New Roman"/>
                <w:sz w:val="21"/>
                <w:szCs w:val="21"/>
              </w:rPr>
              <w:t>N4</w:t>
            </w:r>
          </w:p>
        </w:tc>
        <w:tc>
          <w:tcPr>
            <w:tcW w:w="1262" w:type="dxa"/>
            <w:tcBorders>
              <w:top w:val="single" w:color="auto" w:sz="8" w:space="0"/>
            </w:tcBorders>
          </w:tcPr>
          <w:p>
            <w:pPr>
              <w:rPr>
                <w:rFonts w:ascii="Times New Roman"/>
                <w:sz w:val="21"/>
                <w:szCs w:val="21"/>
              </w:rPr>
            </w:pPr>
            <w:r>
              <w:rPr>
                <w:rFonts w:ascii="Times New Roman"/>
                <w:sz w:val="21"/>
                <w:szCs w:val="21"/>
              </w:rPr>
              <w:t>N5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28" w:type="dxa"/>
          </w:tcPr>
          <w:p>
            <w:pPr>
              <w:jc w:val="center"/>
              <w:rPr>
                <w:rFonts w:ascii="Times New Roman"/>
                <w:sz w:val="21"/>
                <w:szCs w:val="21"/>
              </w:rPr>
            </w:pPr>
            <w:r>
              <w:rPr>
                <w:rFonts w:ascii="Times New Roman"/>
                <w:sz w:val="21"/>
                <w:szCs w:val="21"/>
              </w:rPr>
              <w:t>1</w:t>
            </w:r>
          </w:p>
        </w:tc>
        <w:tc>
          <w:tcPr>
            <w:tcW w:w="1470" w:type="dxa"/>
            <w:vAlign w:val="center"/>
          </w:tcPr>
          <w:p>
            <w:pPr>
              <w:rPr>
                <w:rFonts w:ascii="Times New Roman"/>
                <w:sz w:val="21"/>
                <w:szCs w:val="21"/>
              </w:rPr>
            </w:pPr>
            <w:r>
              <w:rPr>
                <w:rFonts w:ascii="Times New Roman"/>
                <w:sz w:val="21"/>
                <w:szCs w:val="21"/>
              </w:rPr>
              <w:t>磷</w:t>
            </w:r>
            <w:r>
              <w:rPr>
                <w:rFonts w:hint="eastAsia" w:ascii="Times New Roman"/>
                <w:sz w:val="21"/>
                <w:szCs w:val="21"/>
              </w:rPr>
              <w:t>（P）</w:t>
            </w:r>
          </w:p>
        </w:tc>
        <w:tc>
          <w:tcPr>
            <w:tcW w:w="1262" w:type="dxa"/>
          </w:tcPr>
          <w:p>
            <w:pPr>
              <w:rPr>
                <w:rFonts w:ascii="Times New Roman"/>
                <w:sz w:val="21"/>
                <w:szCs w:val="21"/>
              </w:rPr>
            </w:pPr>
            <w:r>
              <w:rPr>
                <w:rFonts w:ascii="Times New Roman"/>
                <w:sz w:val="21"/>
                <w:szCs w:val="21"/>
              </w:rPr>
              <w:t>0</w:t>
            </w:r>
          </w:p>
        </w:tc>
        <w:tc>
          <w:tcPr>
            <w:tcW w:w="1262" w:type="dxa"/>
          </w:tcPr>
          <w:p>
            <w:pPr>
              <w:rPr>
                <w:rFonts w:ascii="Times New Roman"/>
                <w:sz w:val="21"/>
                <w:szCs w:val="21"/>
              </w:rPr>
            </w:pPr>
            <w:r>
              <w:rPr>
                <w:rFonts w:ascii="Times New Roman"/>
                <w:sz w:val="21"/>
                <w:szCs w:val="21"/>
              </w:rPr>
              <w:t>40</w:t>
            </w:r>
          </w:p>
        </w:tc>
        <w:tc>
          <w:tcPr>
            <w:tcW w:w="1262" w:type="dxa"/>
          </w:tcPr>
          <w:p>
            <w:pPr>
              <w:rPr>
                <w:rFonts w:ascii="Times New Roman"/>
                <w:sz w:val="21"/>
                <w:szCs w:val="21"/>
              </w:rPr>
            </w:pPr>
            <w:r>
              <w:rPr>
                <w:rFonts w:ascii="Times New Roman"/>
                <w:sz w:val="21"/>
                <w:szCs w:val="21"/>
              </w:rPr>
              <w:t>80</w:t>
            </w:r>
          </w:p>
        </w:tc>
        <w:tc>
          <w:tcPr>
            <w:tcW w:w="1262" w:type="dxa"/>
          </w:tcPr>
          <w:p>
            <w:pPr>
              <w:rPr>
                <w:rFonts w:ascii="Times New Roman"/>
                <w:sz w:val="21"/>
                <w:szCs w:val="21"/>
              </w:rPr>
            </w:pPr>
            <w:r>
              <w:rPr>
                <w:rFonts w:ascii="Times New Roman"/>
                <w:sz w:val="21"/>
                <w:szCs w:val="21"/>
              </w:rPr>
              <w:t>120</w:t>
            </w:r>
          </w:p>
        </w:tc>
        <w:tc>
          <w:tcPr>
            <w:tcW w:w="1262" w:type="dxa"/>
          </w:tcPr>
          <w:p>
            <w:pPr>
              <w:rPr>
                <w:rFonts w:ascii="Times New Roman"/>
                <w:sz w:val="21"/>
                <w:szCs w:val="21"/>
              </w:rPr>
            </w:pPr>
            <w:r>
              <w:rPr>
                <w:rFonts w:ascii="Times New Roman"/>
                <w:sz w:val="21"/>
                <w:szCs w:val="21"/>
              </w:rPr>
              <w:t>160</w:t>
            </w:r>
          </w:p>
        </w:tc>
        <w:tc>
          <w:tcPr>
            <w:tcW w:w="1262" w:type="dxa"/>
          </w:tcPr>
          <w:p>
            <w:pPr>
              <w:rPr>
                <w:rFonts w:ascii="Times New Roman"/>
                <w:sz w:val="21"/>
                <w:szCs w:val="21"/>
              </w:rPr>
            </w:pPr>
            <w:r>
              <w:rPr>
                <w:rFonts w:ascii="Times New Roman"/>
                <w:sz w:val="21"/>
                <w:szCs w:val="21"/>
              </w:rPr>
              <w:t>200</w:t>
            </w:r>
          </w:p>
        </w:tc>
      </w:tr>
    </w:tbl>
    <w:p>
      <w:pPr>
        <w:rPr>
          <w:rFonts w:ascii="Times New Roman"/>
          <w:sz w:val="21"/>
          <w:szCs w:val="21"/>
        </w:rPr>
      </w:pPr>
    </w:p>
    <w:p>
      <w:pPr>
        <w:pStyle w:val="77"/>
        <w:ind w:left="420" w:firstLine="0"/>
        <w:rPr>
          <w:rFonts w:ascii="Times New Roman"/>
          <w:szCs w:val="21"/>
        </w:rPr>
      </w:pPr>
      <w:r>
        <w:rPr>
          <w:rFonts w:ascii="Times New Roman"/>
          <w:szCs w:val="21"/>
        </w:rPr>
        <w:t>A.2 内标溶液使用液浓度</w:t>
      </w:r>
    </w:p>
    <w:p>
      <w:pPr>
        <w:autoSpaceDE w:val="0"/>
        <w:autoSpaceDN w:val="0"/>
        <w:adjustRightInd w:val="0"/>
        <w:ind w:firstLine="420" w:firstLineChars="200"/>
        <w:rPr>
          <w:rFonts w:ascii="Times New Roman"/>
          <w:sz w:val="21"/>
          <w:szCs w:val="21"/>
        </w:rPr>
      </w:pPr>
      <w:r>
        <w:rPr>
          <w:rFonts w:ascii="Times New Roman"/>
          <w:sz w:val="21"/>
          <w:szCs w:val="21"/>
        </w:rPr>
        <w:t>内标溶液使用液由仪器在线加入。</w:t>
      </w:r>
    </w:p>
    <w:p>
      <w:pPr>
        <w:autoSpaceDE w:val="0"/>
        <w:autoSpaceDN w:val="0"/>
        <w:adjustRightInd w:val="0"/>
        <w:ind w:firstLine="420" w:firstLineChars="200"/>
        <w:rPr>
          <w:rFonts w:ascii="Times New Roman"/>
          <w:sz w:val="21"/>
          <w:szCs w:val="21"/>
        </w:rPr>
      </w:pPr>
      <w:r>
        <w:rPr>
          <w:rFonts w:ascii="Times New Roman"/>
          <w:sz w:val="21"/>
          <w:szCs w:val="21"/>
        </w:rPr>
        <w:t>a.内标元素的选择应以内标元素的原子量与检测目标元素的原子量大致相当为合适。</w:t>
      </w:r>
    </w:p>
    <w:p>
      <w:pPr>
        <w:autoSpaceDE w:val="0"/>
        <w:autoSpaceDN w:val="0"/>
        <w:adjustRightInd w:val="0"/>
        <w:ind w:firstLine="420" w:firstLineChars="200"/>
        <w:rPr>
          <w:rFonts w:ascii="Times New Roman"/>
          <w:sz w:val="21"/>
          <w:szCs w:val="21"/>
        </w:rPr>
      </w:pPr>
      <w:r>
        <w:rPr>
          <w:rFonts w:ascii="Times New Roman"/>
          <w:sz w:val="21"/>
          <w:szCs w:val="21"/>
        </w:rPr>
        <w:t>b.内标元素一般选择稳定的金属元素。</w:t>
      </w:r>
    </w:p>
    <w:p>
      <w:pPr>
        <w:ind w:firstLine="420" w:firstLineChars="200"/>
        <w:rPr>
          <w:rFonts w:ascii="Times New Roman"/>
          <w:sz w:val="21"/>
          <w:szCs w:val="21"/>
        </w:rPr>
      </w:pPr>
      <w:r>
        <w:rPr>
          <w:rFonts w:ascii="Times New Roman"/>
          <w:sz w:val="21"/>
          <w:szCs w:val="21"/>
        </w:rPr>
        <w:t>c.由于不同仪器采用不同内径蠕动泵管在线加入内标，导致内标元素进入检测试剂中的浓度不同，故配制内标使用液浓度时，被检测试</w:t>
      </w:r>
      <w:r>
        <w:rPr>
          <w:rFonts w:hint="eastAsia" w:ascii="Times New Roman"/>
          <w:sz w:val="21"/>
          <w:szCs w:val="21"/>
        </w:rPr>
        <w:t>样</w:t>
      </w:r>
      <w:r>
        <w:rPr>
          <w:rFonts w:ascii="Times New Roman"/>
          <w:sz w:val="21"/>
          <w:szCs w:val="21"/>
        </w:rPr>
        <w:t>中内标元素的浓度与检测目标元素浓度应大致相当。</w:t>
      </w:r>
    </w:p>
    <w:p>
      <w:pPr>
        <w:pStyle w:val="20"/>
        <w:ind w:firstLine="3150" w:firstLineChars="1500"/>
        <w:rPr>
          <w:rFonts w:ascii="Times New Roman"/>
          <w:szCs w:val="21"/>
        </w:rPr>
      </w:pPr>
    </w:p>
    <w:p>
      <w:pPr>
        <w:pStyle w:val="20"/>
        <w:ind w:firstLine="3150" w:firstLineChars="1500"/>
        <w:rPr>
          <w:rFonts w:ascii="Times New Roman"/>
          <w:szCs w:val="21"/>
        </w:rPr>
      </w:pPr>
      <w:r>
        <w:rPr>
          <w:rFonts w:ascii="Times New Roman"/>
          <w:szCs w:val="21"/>
        </w:rPr>
        <w:t>表A.2 内标钪（Sc）溶液的推荐浓度</w:t>
      </w:r>
    </w:p>
    <w:tbl>
      <w:tblPr>
        <w:tblStyle w:val="12"/>
        <w:tblW w:w="0" w:type="auto"/>
        <w:tblInd w:w="-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69"/>
        <w:gridCol w:w="5511"/>
        <w:gridCol w:w="19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7" w:type="dxa"/>
          </w:tcPr>
          <w:p>
            <w:pPr>
              <w:autoSpaceDE w:val="0"/>
              <w:autoSpaceDN w:val="0"/>
              <w:adjustRightInd w:val="0"/>
              <w:jc w:val="center"/>
              <w:rPr>
                <w:rFonts w:ascii="Times New Roman"/>
                <w:sz w:val="21"/>
                <w:szCs w:val="21"/>
              </w:rPr>
            </w:pPr>
            <w:r>
              <w:rPr>
                <w:rFonts w:ascii="Times New Roman"/>
                <w:sz w:val="21"/>
                <w:szCs w:val="21"/>
              </w:rPr>
              <w:t>序号</w:t>
            </w:r>
          </w:p>
        </w:tc>
        <w:tc>
          <w:tcPr>
            <w:tcW w:w="1469" w:type="dxa"/>
          </w:tcPr>
          <w:p>
            <w:pPr>
              <w:rPr>
                <w:rFonts w:ascii="Times New Roman"/>
                <w:sz w:val="21"/>
                <w:szCs w:val="21"/>
              </w:rPr>
            </w:pPr>
            <w:r>
              <w:rPr>
                <w:rFonts w:ascii="Times New Roman"/>
                <w:sz w:val="21"/>
                <w:szCs w:val="21"/>
              </w:rPr>
              <w:t>内标元素</w:t>
            </w:r>
          </w:p>
        </w:tc>
        <w:tc>
          <w:tcPr>
            <w:tcW w:w="5511" w:type="dxa"/>
          </w:tcPr>
          <w:p>
            <w:pPr>
              <w:rPr>
                <w:rFonts w:ascii="Times New Roman"/>
                <w:sz w:val="21"/>
                <w:szCs w:val="21"/>
              </w:rPr>
            </w:pPr>
            <w:r>
              <w:rPr>
                <w:rFonts w:ascii="Times New Roman"/>
                <w:sz w:val="21"/>
                <w:szCs w:val="21"/>
              </w:rPr>
              <w:t>适合检测元素</w:t>
            </w:r>
          </w:p>
        </w:tc>
        <w:tc>
          <w:tcPr>
            <w:tcW w:w="1944" w:type="dxa"/>
          </w:tcPr>
          <w:p>
            <w:pPr>
              <w:rPr>
                <w:rFonts w:ascii="Times New Roman"/>
                <w:sz w:val="21"/>
                <w:szCs w:val="21"/>
              </w:rPr>
            </w:pPr>
            <w:r>
              <w:rPr>
                <w:rFonts w:ascii="Times New Roman"/>
                <w:sz w:val="21"/>
                <w:szCs w:val="21"/>
              </w:rPr>
              <w:t>内标元素在检测试剂中的推荐浓度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7" w:type="dxa"/>
          </w:tcPr>
          <w:p>
            <w:pPr>
              <w:autoSpaceDE w:val="0"/>
              <w:autoSpaceDN w:val="0"/>
              <w:adjustRightInd w:val="0"/>
              <w:jc w:val="center"/>
              <w:rPr>
                <w:rFonts w:ascii="Times New Roman"/>
                <w:sz w:val="21"/>
                <w:szCs w:val="21"/>
              </w:rPr>
            </w:pPr>
            <w:r>
              <w:rPr>
                <w:rFonts w:ascii="Times New Roman"/>
                <w:sz w:val="21"/>
                <w:szCs w:val="21"/>
              </w:rPr>
              <w:t>1</w:t>
            </w:r>
          </w:p>
        </w:tc>
        <w:tc>
          <w:tcPr>
            <w:tcW w:w="1469" w:type="dxa"/>
            <w:vAlign w:val="center"/>
          </w:tcPr>
          <w:p>
            <w:pPr>
              <w:rPr>
                <w:rFonts w:ascii="Times New Roman"/>
                <w:sz w:val="21"/>
                <w:szCs w:val="21"/>
              </w:rPr>
            </w:pPr>
            <w:r>
              <w:rPr>
                <w:rFonts w:ascii="Times New Roman"/>
                <w:sz w:val="21"/>
                <w:szCs w:val="21"/>
              </w:rPr>
              <w:t>钪</w:t>
            </w:r>
            <w:r>
              <w:rPr>
                <w:rFonts w:hint="eastAsia" w:ascii="Times New Roman"/>
                <w:sz w:val="21"/>
                <w:szCs w:val="21"/>
              </w:rPr>
              <w:t>（Sc）</w:t>
            </w:r>
          </w:p>
        </w:tc>
        <w:tc>
          <w:tcPr>
            <w:tcW w:w="5511" w:type="dxa"/>
          </w:tcPr>
          <w:p>
            <w:pPr>
              <w:rPr>
                <w:rFonts w:ascii="Times New Roman"/>
                <w:sz w:val="21"/>
                <w:szCs w:val="21"/>
              </w:rPr>
            </w:pPr>
            <w:r>
              <w:rPr>
                <w:rFonts w:ascii="Times New Roman"/>
                <w:sz w:val="21"/>
                <w:szCs w:val="21"/>
              </w:rPr>
              <w:t>磷</w:t>
            </w:r>
            <w:r>
              <w:rPr>
                <w:rFonts w:hint="eastAsia" w:ascii="Times New Roman"/>
                <w:sz w:val="21"/>
                <w:szCs w:val="21"/>
              </w:rPr>
              <w:t>（P）</w:t>
            </w:r>
          </w:p>
        </w:tc>
        <w:tc>
          <w:tcPr>
            <w:tcW w:w="1944" w:type="dxa"/>
          </w:tcPr>
          <w:p>
            <w:pPr>
              <w:rPr>
                <w:rFonts w:ascii="Times New Roman"/>
                <w:sz w:val="21"/>
                <w:szCs w:val="21"/>
              </w:rPr>
            </w:pPr>
            <w:r>
              <w:rPr>
                <w:rFonts w:ascii="Times New Roman"/>
                <w:sz w:val="21"/>
                <w:szCs w:val="21"/>
              </w:rPr>
              <w:t>100μg/L</w:t>
            </w:r>
          </w:p>
        </w:tc>
      </w:tr>
    </w:tbl>
    <w:p>
      <w:pPr>
        <w:pStyle w:val="20"/>
        <w:ind w:firstLine="420"/>
        <w:rPr>
          <w:rFonts w:ascii="Times New Roman"/>
          <w:szCs w:val="21"/>
        </w:rPr>
      </w:pPr>
    </w:p>
    <w:p>
      <w:pPr>
        <w:pStyle w:val="73"/>
        <w:numPr>
          <w:ilvl w:val="0"/>
          <w:numId w:val="4"/>
        </w:numPr>
        <w:ind w:left="0" w:firstLine="363"/>
        <w:rPr>
          <w:color w:val="auto"/>
          <w:szCs w:val="21"/>
        </w:rPr>
      </w:pPr>
    </w:p>
    <w:p>
      <w:pPr>
        <w:pStyle w:val="72"/>
        <w:numPr>
          <w:ilvl w:val="0"/>
          <w:numId w:val="3"/>
        </w:numPr>
        <w:rPr>
          <w:color w:val="auto"/>
          <w:szCs w:val="21"/>
        </w:rPr>
      </w:pPr>
    </w:p>
    <w:p>
      <w:pPr>
        <w:pStyle w:val="70"/>
        <w:numPr>
          <w:ilvl w:val="0"/>
          <w:numId w:val="5"/>
        </w:numPr>
        <w:rPr>
          <w:rFonts w:ascii="Times New Roman" w:eastAsia="宋体"/>
          <w:szCs w:val="21"/>
        </w:rPr>
      </w:pPr>
      <w:r>
        <w:rPr>
          <w:rFonts w:ascii="Times New Roman" w:eastAsia="宋体"/>
          <w:szCs w:val="21"/>
        </w:rPr>
        <w:br w:type="textWrapping"/>
      </w:r>
      <w:bookmarkStart w:id="36" w:name="_Toc487536945"/>
      <w:r>
        <w:rPr>
          <w:rFonts w:ascii="Times New Roman" w:eastAsia="宋体"/>
          <w:szCs w:val="21"/>
        </w:rPr>
        <w:t>（资料性）</w:t>
      </w:r>
      <w:r>
        <w:rPr>
          <w:rFonts w:ascii="Times New Roman" w:eastAsia="宋体"/>
          <w:szCs w:val="21"/>
        </w:rPr>
        <w:br w:type="textWrapping"/>
      </w:r>
      <w:r>
        <w:rPr>
          <w:rFonts w:ascii="Times New Roman" w:eastAsia="宋体"/>
          <w:szCs w:val="21"/>
        </w:rPr>
        <w:t>样品测定参考条件</w:t>
      </w:r>
      <w:bookmarkEnd w:id="36"/>
    </w:p>
    <w:p>
      <w:pPr>
        <w:pStyle w:val="64"/>
        <w:numPr>
          <w:ilvl w:val="1"/>
          <w:numId w:val="5"/>
        </w:numPr>
        <w:autoSpaceDE w:val="0"/>
        <w:autoSpaceDN w:val="0"/>
        <w:adjustRightInd w:val="0"/>
        <w:ind w:firstLineChars="0"/>
        <w:rPr>
          <w:rFonts w:ascii="Times New Roman"/>
          <w:sz w:val="21"/>
          <w:szCs w:val="21"/>
        </w:rPr>
      </w:pPr>
      <w:r>
        <w:rPr>
          <w:rFonts w:ascii="Times New Roman"/>
          <w:sz w:val="21"/>
          <w:szCs w:val="21"/>
        </w:rPr>
        <w:t>消解仪操作参考条件</w:t>
      </w:r>
    </w:p>
    <w:p>
      <w:pPr>
        <w:pStyle w:val="64"/>
        <w:autoSpaceDE w:val="0"/>
        <w:autoSpaceDN w:val="0"/>
        <w:adjustRightInd w:val="0"/>
        <w:ind w:firstLine="0" w:firstLineChars="0"/>
        <w:rPr>
          <w:rFonts w:ascii="Times New Roman"/>
          <w:sz w:val="21"/>
          <w:szCs w:val="21"/>
        </w:rPr>
      </w:pPr>
      <w:r>
        <w:rPr>
          <w:rFonts w:ascii="Times New Roman"/>
          <w:sz w:val="21"/>
          <w:szCs w:val="21"/>
        </w:rPr>
        <w:t xml:space="preserve">     消解仪操作参考条件见表B.1。</w:t>
      </w:r>
    </w:p>
    <w:p>
      <w:pPr>
        <w:pStyle w:val="74"/>
        <w:spacing w:before="120" w:after="120"/>
        <w:ind w:left="0" w:firstLine="0"/>
        <w:rPr>
          <w:rFonts w:ascii="Times New Roman" w:eastAsia="宋体"/>
        </w:rPr>
      </w:pPr>
      <w:r>
        <w:rPr>
          <w:rFonts w:ascii="Times New Roman" w:eastAsia="宋体"/>
        </w:rPr>
        <w:t>表B.1 消解仪参考条件</w:t>
      </w:r>
    </w:p>
    <w:tbl>
      <w:tblPr>
        <w:tblStyle w:val="12"/>
        <w:tblW w:w="1013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842"/>
        <w:gridCol w:w="2410"/>
        <w:gridCol w:w="1985"/>
        <w:gridCol w:w="23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8" w:space="0"/>
              <w:bottom w:val="single" w:color="auto" w:sz="8" w:space="0"/>
            </w:tcBorders>
          </w:tcPr>
          <w:p>
            <w:pPr>
              <w:rPr>
                <w:rFonts w:ascii="Times New Roman"/>
                <w:sz w:val="21"/>
                <w:szCs w:val="21"/>
              </w:rPr>
            </w:pPr>
            <w:r>
              <w:rPr>
                <w:rFonts w:ascii="Times New Roman"/>
                <w:sz w:val="21"/>
                <w:szCs w:val="21"/>
              </w:rPr>
              <w:t xml:space="preserve">消解方式 </w:t>
            </w:r>
          </w:p>
        </w:tc>
        <w:tc>
          <w:tcPr>
            <w:tcW w:w="1842" w:type="dxa"/>
            <w:tcBorders>
              <w:top w:val="single" w:color="auto" w:sz="8" w:space="0"/>
              <w:bottom w:val="single" w:color="auto" w:sz="8" w:space="0"/>
            </w:tcBorders>
          </w:tcPr>
          <w:p>
            <w:pPr>
              <w:rPr>
                <w:rFonts w:ascii="Times New Roman"/>
                <w:sz w:val="21"/>
                <w:szCs w:val="21"/>
              </w:rPr>
            </w:pPr>
            <w:r>
              <w:rPr>
                <w:rFonts w:ascii="Times New Roman"/>
                <w:sz w:val="21"/>
                <w:szCs w:val="21"/>
              </w:rPr>
              <w:t xml:space="preserve">步骤 </w:t>
            </w:r>
          </w:p>
        </w:tc>
        <w:tc>
          <w:tcPr>
            <w:tcW w:w="2410" w:type="dxa"/>
            <w:tcBorders>
              <w:top w:val="single" w:color="auto" w:sz="8" w:space="0"/>
              <w:bottom w:val="single" w:color="auto" w:sz="8" w:space="0"/>
            </w:tcBorders>
          </w:tcPr>
          <w:p>
            <w:pPr>
              <w:rPr>
                <w:rFonts w:ascii="Times New Roman"/>
                <w:sz w:val="21"/>
                <w:szCs w:val="21"/>
              </w:rPr>
            </w:pPr>
            <w:r>
              <w:rPr>
                <w:rFonts w:ascii="Times New Roman"/>
                <w:sz w:val="21"/>
                <w:szCs w:val="21"/>
              </w:rPr>
              <w:t>控制温度（</w:t>
            </w:r>
            <w:r>
              <w:rPr>
                <w:rFonts w:hint="eastAsia" w:hAnsi="宋体" w:cs="宋体"/>
                <w:sz w:val="21"/>
                <w:szCs w:val="21"/>
              </w:rPr>
              <w:t>℃</w:t>
            </w:r>
            <w:r>
              <w:rPr>
                <w:rFonts w:ascii="Times New Roman"/>
                <w:sz w:val="21"/>
                <w:szCs w:val="21"/>
              </w:rPr>
              <w:t xml:space="preserve">） </w:t>
            </w:r>
          </w:p>
        </w:tc>
        <w:tc>
          <w:tcPr>
            <w:tcW w:w="1985" w:type="dxa"/>
            <w:tcBorders>
              <w:top w:val="single" w:color="auto" w:sz="8" w:space="0"/>
              <w:bottom w:val="single" w:color="auto" w:sz="8" w:space="0"/>
            </w:tcBorders>
          </w:tcPr>
          <w:p>
            <w:pPr>
              <w:rPr>
                <w:rFonts w:ascii="Times New Roman"/>
                <w:sz w:val="21"/>
                <w:szCs w:val="21"/>
              </w:rPr>
            </w:pPr>
            <w:r>
              <w:rPr>
                <w:rFonts w:ascii="Times New Roman"/>
                <w:sz w:val="21"/>
                <w:szCs w:val="21"/>
              </w:rPr>
              <w:t>升温时间（min）</w:t>
            </w:r>
          </w:p>
        </w:tc>
        <w:tc>
          <w:tcPr>
            <w:tcW w:w="2349" w:type="dxa"/>
            <w:tcBorders>
              <w:top w:val="single" w:color="auto" w:sz="8" w:space="0"/>
              <w:bottom w:val="single" w:color="auto" w:sz="8" w:space="0"/>
            </w:tcBorders>
          </w:tcPr>
          <w:p>
            <w:pPr>
              <w:rPr>
                <w:rFonts w:ascii="Times New Roman"/>
                <w:sz w:val="21"/>
                <w:szCs w:val="21"/>
              </w:rPr>
            </w:pPr>
            <w:r>
              <w:rPr>
                <w:rFonts w:ascii="Times New Roman"/>
                <w:sz w:val="21"/>
                <w:szCs w:val="21"/>
              </w:rPr>
              <w:t>恒温时间（min）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8" w:space="0"/>
            </w:tcBorders>
          </w:tcPr>
          <w:p>
            <w:pPr>
              <w:rPr>
                <w:rFonts w:ascii="Times New Roman"/>
                <w:sz w:val="21"/>
                <w:szCs w:val="21"/>
              </w:rPr>
            </w:pPr>
            <w:r>
              <w:rPr>
                <w:rFonts w:ascii="Times New Roman"/>
                <w:sz w:val="21"/>
                <w:szCs w:val="21"/>
              </w:rPr>
              <w:t>微波消解</w:t>
            </w:r>
          </w:p>
        </w:tc>
        <w:tc>
          <w:tcPr>
            <w:tcW w:w="1842" w:type="dxa"/>
            <w:tcBorders>
              <w:top w:val="single" w:color="auto" w:sz="8" w:space="0"/>
            </w:tcBorders>
          </w:tcPr>
          <w:p>
            <w:pPr>
              <w:rPr>
                <w:rFonts w:ascii="Times New Roman"/>
                <w:sz w:val="21"/>
                <w:szCs w:val="21"/>
              </w:rPr>
            </w:pPr>
            <w:r>
              <w:rPr>
                <w:rFonts w:ascii="Times New Roman"/>
                <w:sz w:val="21"/>
                <w:szCs w:val="21"/>
              </w:rPr>
              <w:t>1</w:t>
            </w:r>
          </w:p>
        </w:tc>
        <w:tc>
          <w:tcPr>
            <w:tcW w:w="2410" w:type="dxa"/>
            <w:tcBorders>
              <w:top w:val="single" w:color="auto" w:sz="8" w:space="0"/>
            </w:tcBorders>
          </w:tcPr>
          <w:p>
            <w:pPr>
              <w:rPr>
                <w:rFonts w:ascii="Times New Roman"/>
                <w:sz w:val="21"/>
                <w:szCs w:val="21"/>
              </w:rPr>
            </w:pPr>
            <w:r>
              <w:rPr>
                <w:rFonts w:ascii="Times New Roman"/>
                <w:sz w:val="21"/>
                <w:szCs w:val="21"/>
              </w:rPr>
              <w:t>120</w:t>
            </w:r>
          </w:p>
        </w:tc>
        <w:tc>
          <w:tcPr>
            <w:tcW w:w="1985" w:type="dxa"/>
            <w:tcBorders>
              <w:top w:val="single" w:color="auto" w:sz="8" w:space="0"/>
            </w:tcBorders>
          </w:tcPr>
          <w:p>
            <w:pPr>
              <w:rPr>
                <w:rFonts w:ascii="Times New Roman"/>
                <w:sz w:val="21"/>
                <w:szCs w:val="21"/>
              </w:rPr>
            </w:pPr>
            <w:r>
              <w:rPr>
                <w:rFonts w:ascii="Times New Roman"/>
                <w:sz w:val="21"/>
                <w:szCs w:val="21"/>
              </w:rPr>
              <w:t>5</w:t>
            </w:r>
          </w:p>
        </w:tc>
        <w:tc>
          <w:tcPr>
            <w:tcW w:w="2349" w:type="dxa"/>
            <w:tcBorders>
              <w:top w:val="single" w:color="auto" w:sz="8" w:space="0"/>
            </w:tcBorders>
          </w:tcPr>
          <w:p>
            <w:pPr>
              <w:rPr>
                <w:rFonts w:ascii="Times New Roman"/>
                <w:sz w:val="21"/>
                <w:szCs w:val="21"/>
              </w:rPr>
            </w:pPr>
            <w:r>
              <w:rPr>
                <w:rFonts w:ascii="Times New Roman"/>
                <w:sz w:val="21"/>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Pr>
          <w:p>
            <w:pPr>
              <w:rPr>
                <w:rFonts w:ascii="Times New Roman"/>
                <w:sz w:val="21"/>
                <w:szCs w:val="21"/>
              </w:rPr>
            </w:pPr>
          </w:p>
        </w:tc>
        <w:tc>
          <w:tcPr>
            <w:tcW w:w="1842" w:type="dxa"/>
          </w:tcPr>
          <w:p>
            <w:pPr>
              <w:rPr>
                <w:rFonts w:ascii="Times New Roman"/>
                <w:sz w:val="21"/>
                <w:szCs w:val="21"/>
              </w:rPr>
            </w:pPr>
            <w:r>
              <w:rPr>
                <w:rFonts w:ascii="Times New Roman"/>
                <w:sz w:val="21"/>
                <w:szCs w:val="21"/>
              </w:rPr>
              <w:t>2</w:t>
            </w:r>
          </w:p>
        </w:tc>
        <w:tc>
          <w:tcPr>
            <w:tcW w:w="2410" w:type="dxa"/>
          </w:tcPr>
          <w:p>
            <w:pPr>
              <w:rPr>
                <w:rFonts w:ascii="Times New Roman"/>
                <w:sz w:val="21"/>
                <w:szCs w:val="21"/>
              </w:rPr>
            </w:pPr>
            <w:r>
              <w:rPr>
                <w:rFonts w:ascii="Times New Roman"/>
                <w:sz w:val="21"/>
                <w:szCs w:val="21"/>
              </w:rPr>
              <w:t>150</w:t>
            </w:r>
          </w:p>
        </w:tc>
        <w:tc>
          <w:tcPr>
            <w:tcW w:w="1985" w:type="dxa"/>
          </w:tcPr>
          <w:p>
            <w:pPr>
              <w:rPr>
                <w:rFonts w:ascii="Times New Roman"/>
                <w:sz w:val="21"/>
                <w:szCs w:val="21"/>
              </w:rPr>
            </w:pPr>
            <w:r>
              <w:rPr>
                <w:rFonts w:ascii="Times New Roman"/>
                <w:sz w:val="21"/>
                <w:szCs w:val="21"/>
              </w:rPr>
              <w:t>5</w:t>
            </w:r>
          </w:p>
        </w:tc>
        <w:tc>
          <w:tcPr>
            <w:tcW w:w="2349" w:type="dxa"/>
          </w:tcPr>
          <w:p>
            <w:pPr>
              <w:rPr>
                <w:rFonts w:ascii="Times New Roman"/>
                <w:sz w:val="21"/>
                <w:szCs w:val="21"/>
              </w:rPr>
            </w:pPr>
            <w:r>
              <w:rPr>
                <w:rFonts w:ascii="Times New Roman"/>
                <w:sz w:val="21"/>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Pr>
          <w:p>
            <w:pPr>
              <w:rPr>
                <w:rFonts w:ascii="Times New Roman"/>
                <w:sz w:val="21"/>
                <w:szCs w:val="21"/>
              </w:rPr>
            </w:pPr>
          </w:p>
        </w:tc>
        <w:tc>
          <w:tcPr>
            <w:tcW w:w="1842" w:type="dxa"/>
          </w:tcPr>
          <w:p>
            <w:pPr>
              <w:rPr>
                <w:rFonts w:ascii="Times New Roman"/>
                <w:sz w:val="21"/>
                <w:szCs w:val="21"/>
              </w:rPr>
            </w:pPr>
            <w:r>
              <w:rPr>
                <w:rFonts w:ascii="Times New Roman"/>
                <w:sz w:val="21"/>
                <w:szCs w:val="21"/>
              </w:rPr>
              <w:t>3</w:t>
            </w:r>
          </w:p>
        </w:tc>
        <w:tc>
          <w:tcPr>
            <w:tcW w:w="2410" w:type="dxa"/>
          </w:tcPr>
          <w:p>
            <w:pPr>
              <w:rPr>
                <w:rFonts w:ascii="Times New Roman"/>
                <w:sz w:val="21"/>
                <w:szCs w:val="21"/>
              </w:rPr>
            </w:pPr>
            <w:r>
              <w:rPr>
                <w:rFonts w:ascii="Times New Roman"/>
                <w:sz w:val="21"/>
                <w:szCs w:val="21"/>
              </w:rPr>
              <w:t>200</w:t>
            </w:r>
          </w:p>
        </w:tc>
        <w:tc>
          <w:tcPr>
            <w:tcW w:w="1985" w:type="dxa"/>
          </w:tcPr>
          <w:p>
            <w:pPr>
              <w:rPr>
                <w:rFonts w:ascii="Times New Roman"/>
                <w:sz w:val="21"/>
                <w:szCs w:val="21"/>
              </w:rPr>
            </w:pPr>
            <w:r>
              <w:rPr>
                <w:rFonts w:ascii="Times New Roman"/>
                <w:sz w:val="21"/>
                <w:szCs w:val="21"/>
              </w:rPr>
              <w:t>5</w:t>
            </w:r>
          </w:p>
        </w:tc>
        <w:tc>
          <w:tcPr>
            <w:tcW w:w="2349" w:type="dxa"/>
          </w:tcPr>
          <w:p>
            <w:pPr>
              <w:rPr>
                <w:rFonts w:ascii="Times New Roman"/>
                <w:sz w:val="21"/>
                <w:szCs w:val="21"/>
              </w:rPr>
            </w:pPr>
            <w:r>
              <w:rPr>
                <w:rFonts w:ascii="Times New Roman"/>
                <w:sz w:val="21"/>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restart"/>
          </w:tcPr>
          <w:p>
            <w:pPr>
              <w:rPr>
                <w:rFonts w:ascii="Times New Roman"/>
                <w:sz w:val="21"/>
                <w:szCs w:val="21"/>
              </w:rPr>
            </w:pPr>
            <w:r>
              <w:rPr>
                <w:rFonts w:ascii="Times New Roman"/>
                <w:sz w:val="21"/>
                <w:szCs w:val="21"/>
              </w:rPr>
              <w:t>压力罐消解</w:t>
            </w:r>
          </w:p>
        </w:tc>
        <w:tc>
          <w:tcPr>
            <w:tcW w:w="1842" w:type="dxa"/>
          </w:tcPr>
          <w:p>
            <w:pPr>
              <w:rPr>
                <w:rFonts w:ascii="Times New Roman"/>
                <w:sz w:val="21"/>
                <w:szCs w:val="21"/>
              </w:rPr>
            </w:pPr>
            <w:r>
              <w:rPr>
                <w:rFonts w:ascii="Times New Roman"/>
                <w:sz w:val="21"/>
                <w:szCs w:val="21"/>
              </w:rPr>
              <w:t>1</w:t>
            </w:r>
          </w:p>
        </w:tc>
        <w:tc>
          <w:tcPr>
            <w:tcW w:w="2410" w:type="dxa"/>
          </w:tcPr>
          <w:p>
            <w:pPr>
              <w:rPr>
                <w:rFonts w:ascii="Times New Roman"/>
                <w:sz w:val="21"/>
                <w:szCs w:val="21"/>
              </w:rPr>
            </w:pPr>
            <w:r>
              <w:rPr>
                <w:rFonts w:ascii="Times New Roman"/>
                <w:sz w:val="21"/>
                <w:szCs w:val="21"/>
              </w:rPr>
              <w:t>80</w:t>
            </w:r>
          </w:p>
        </w:tc>
        <w:tc>
          <w:tcPr>
            <w:tcW w:w="1985" w:type="dxa"/>
          </w:tcPr>
          <w:p>
            <w:pPr>
              <w:rPr>
                <w:rFonts w:ascii="Times New Roman"/>
                <w:sz w:val="21"/>
                <w:szCs w:val="21"/>
              </w:rPr>
            </w:pPr>
            <w:r>
              <w:rPr>
                <w:rFonts w:ascii="Times New Roman"/>
                <w:sz w:val="21"/>
                <w:szCs w:val="21"/>
              </w:rPr>
              <w:t>-----</w:t>
            </w:r>
          </w:p>
        </w:tc>
        <w:tc>
          <w:tcPr>
            <w:tcW w:w="2349" w:type="dxa"/>
          </w:tcPr>
          <w:p>
            <w:pPr>
              <w:rPr>
                <w:rFonts w:ascii="Times New Roman"/>
                <w:sz w:val="21"/>
                <w:szCs w:val="21"/>
              </w:rPr>
            </w:pPr>
            <w:r>
              <w:rPr>
                <w:rFonts w:ascii="Times New Roman"/>
                <w:sz w:val="21"/>
                <w:szCs w:val="21"/>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Pr>
          <w:p>
            <w:pPr>
              <w:rPr>
                <w:rFonts w:ascii="Times New Roman"/>
                <w:sz w:val="21"/>
                <w:szCs w:val="21"/>
              </w:rPr>
            </w:pPr>
          </w:p>
        </w:tc>
        <w:tc>
          <w:tcPr>
            <w:tcW w:w="1842" w:type="dxa"/>
          </w:tcPr>
          <w:p>
            <w:pPr>
              <w:rPr>
                <w:rFonts w:ascii="Times New Roman"/>
                <w:sz w:val="21"/>
                <w:szCs w:val="21"/>
              </w:rPr>
            </w:pPr>
            <w:r>
              <w:rPr>
                <w:rFonts w:ascii="Times New Roman"/>
                <w:sz w:val="21"/>
                <w:szCs w:val="21"/>
              </w:rPr>
              <w:t>2</w:t>
            </w:r>
          </w:p>
        </w:tc>
        <w:tc>
          <w:tcPr>
            <w:tcW w:w="2410" w:type="dxa"/>
          </w:tcPr>
          <w:p>
            <w:pPr>
              <w:rPr>
                <w:rFonts w:ascii="Times New Roman"/>
                <w:sz w:val="21"/>
                <w:szCs w:val="21"/>
              </w:rPr>
            </w:pPr>
            <w:r>
              <w:rPr>
                <w:rFonts w:ascii="Times New Roman"/>
                <w:sz w:val="21"/>
                <w:szCs w:val="21"/>
              </w:rPr>
              <w:t>120</w:t>
            </w:r>
          </w:p>
        </w:tc>
        <w:tc>
          <w:tcPr>
            <w:tcW w:w="1985" w:type="dxa"/>
          </w:tcPr>
          <w:p>
            <w:pPr>
              <w:rPr>
                <w:rFonts w:ascii="Times New Roman"/>
                <w:sz w:val="21"/>
                <w:szCs w:val="21"/>
              </w:rPr>
            </w:pPr>
            <w:r>
              <w:rPr>
                <w:rFonts w:ascii="Times New Roman"/>
                <w:sz w:val="21"/>
                <w:szCs w:val="21"/>
              </w:rPr>
              <w:t>-----</w:t>
            </w:r>
          </w:p>
        </w:tc>
        <w:tc>
          <w:tcPr>
            <w:tcW w:w="2349" w:type="dxa"/>
          </w:tcPr>
          <w:p>
            <w:pPr>
              <w:rPr>
                <w:rFonts w:ascii="Times New Roman"/>
                <w:sz w:val="21"/>
                <w:szCs w:val="21"/>
              </w:rPr>
            </w:pPr>
            <w:r>
              <w:rPr>
                <w:rFonts w:ascii="Times New Roman"/>
                <w:sz w:val="21"/>
                <w:szCs w:val="21"/>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bottom w:val="single" w:color="auto" w:sz="4" w:space="0"/>
            </w:tcBorders>
          </w:tcPr>
          <w:p>
            <w:pPr>
              <w:rPr>
                <w:rFonts w:ascii="Times New Roman"/>
                <w:sz w:val="21"/>
                <w:szCs w:val="21"/>
              </w:rPr>
            </w:pPr>
          </w:p>
        </w:tc>
        <w:tc>
          <w:tcPr>
            <w:tcW w:w="1842" w:type="dxa"/>
            <w:tcBorders>
              <w:bottom w:val="single" w:color="auto" w:sz="4" w:space="0"/>
            </w:tcBorders>
          </w:tcPr>
          <w:p>
            <w:pPr>
              <w:rPr>
                <w:rFonts w:ascii="Times New Roman"/>
                <w:sz w:val="21"/>
                <w:szCs w:val="21"/>
              </w:rPr>
            </w:pPr>
            <w:r>
              <w:rPr>
                <w:rFonts w:ascii="Times New Roman"/>
                <w:sz w:val="21"/>
                <w:szCs w:val="21"/>
              </w:rPr>
              <w:t>3</w:t>
            </w:r>
          </w:p>
        </w:tc>
        <w:tc>
          <w:tcPr>
            <w:tcW w:w="2410" w:type="dxa"/>
            <w:tcBorders>
              <w:bottom w:val="single" w:color="auto" w:sz="4" w:space="0"/>
            </w:tcBorders>
          </w:tcPr>
          <w:p>
            <w:pPr>
              <w:rPr>
                <w:rFonts w:ascii="Times New Roman"/>
                <w:sz w:val="21"/>
                <w:szCs w:val="21"/>
              </w:rPr>
            </w:pPr>
            <w:r>
              <w:rPr>
                <w:rFonts w:ascii="Times New Roman"/>
                <w:sz w:val="21"/>
                <w:szCs w:val="21"/>
              </w:rPr>
              <w:t>180</w:t>
            </w:r>
          </w:p>
        </w:tc>
        <w:tc>
          <w:tcPr>
            <w:tcW w:w="1985" w:type="dxa"/>
            <w:tcBorders>
              <w:bottom w:val="single" w:color="auto" w:sz="4" w:space="0"/>
            </w:tcBorders>
          </w:tcPr>
          <w:p>
            <w:pPr>
              <w:rPr>
                <w:rFonts w:ascii="Times New Roman"/>
                <w:sz w:val="21"/>
                <w:szCs w:val="21"/>
              </w:rPr>
            </w:pPr>
            <w:r>
              <w:rPr>
                <w:rFonts w:ascii="Times New Roman"/>
                <w:sz w:val="21"/>
                <w:szCs w:val="21"/>
              </w:rPr>
              <w:t>-----</w:t>
            </w:r>
          </w:p>
        </w:tc>
        <w:tc>
          <w:tcPr>
            <w:tcW w:w="2349" w:type="dxa"/>
            <w:tcBorders>
              <w:bottom w:val="single" w:color="auto" w:sz="4" w:space="0"/>
            </w:tcBorders>
          </w:tcPr>
          <w:p>
            <w:pPr>
              <w:rPr>
                <w:rFonts w:ascii="Times New Roman"/>
                <w:sz w:val="21"/>
                <w:szCs w:val="21"/>
              </w:rPr>
            </w:pPr>
            <w:r>
              <w:rPr>
                <w:rFonts w:ascii="Times New Roman"/>
                <w:sz w:val="21"/>
                <w:szCs w:val="21"/>
              </w:rPr>
              <w:t>120</w:t>
            </w:r>
          </w:p>
        </w:tc>
      </w:tr>
    </w:tbl>
    <w:p>
      <w:pPr>
        <w:rPr>
          <w:rFonts w:ascii="Times New Roman"/>
          <w:sz w:val="21"/>
          <w:szCs w:val="21"/>
        </w:rPr>
      </w:pPr>
    </w:p>
    <w:p>
      <w:pPr>
        <w:pStyle w:val="64"/>
        <w:numPr>
          <w:ilvl w:val="1"/>
          <w:numId w:val="5"/>
        </w:numPr>
        <w:autoSpaceDE w:val="0"/>
        <w:autoSpaceDN w:val="0"/>
        <w:adjustRightInd w:val="0"/>
        <w:ind w:firstLineChars="0"/>
        <w:rPr>
          <w:rFonts w:ascii="Times New Roman"/>
          <w:sz w:val="21"/>
          <w:szCs w:val="21"/>
        </w:rPr>
      </w:pPr>
      <w:r>
        <w:rPr>
          <w:rFonts w:ascii="Times New Roman"/>
          <w:sz w:val="21"/>
          <w:szCs w:val="21"/>
        </w:rPr>
        <w:t>电感耦合等离子质谱仪（ICP-MS）操作参考条件</w:t>
      </w:r>
    </w:p>
    <w:p>
      <w:pPr>
        <w:pStyle w:val="64"/>
        <w:autoSpaceDE w:val="0"/>
        <w:autoSpaceDN w:val="0"/>
        <w:adjustRightInd w:val="0"/>
        <w:ind w:firstLine="0" w:firstLineChars="0"/>
        <w:rPr>
          <w:rFonts w:ascii="Times New Roman"/>
          <w:sz w:val="21"/>
          <w:szCs w:val="21"/>
        </w:rPr>
      </w:pPr>
      <w:r>
        <w:rPr>
          <w:rFonts w:ascii="Times New Roman"/>
          <w:sz w:val="21"/>
          <w:szCs w:val="21"/>
        </w:rPr>
        <w:t xml:space="preserve">     ICP-MS操作参考条件见表B.2</w:t>
      </w:r>
    </w:p>
    <w:p>
      <w:pPr>
        <w:ind w:firstLine="2625" w:firstLineChars="1250"/>
        <w:rPr>
          <w:rFonts w:ascii="Times New Roman"/>
          <w:sz w:val="21"/>
          <w:szCs w:val="21"/>
        </w:rPr>
      </w:pPr>
      <w:r>
        <w:rPr>
          <w:rFonts w:ascii="Times New Roman"/>
          <w:sz w:val="21"/>
          <w:szCs w:val="21"/>
        </w:rPr>
        <w:t>表B.2 电感耦合等离子体质谱仪操作参考条件</w:t>
      </w:r>
    </w:p>
    <w:p>
      <w:pPr>
        <w:ind w:firstLine="2625" w:firstLineChars="1250"/>
        <w:rPr>
          <w:rFonts w:ascii="Times New Roman"/>
          <w:sz w:val="21"/>
          <w:szCs w:val="21"/>
        </w:rPr>
      </w:pPr>
    </w:p>
    <w:tbl>
      <w:tblPr>
        <w:tblStyle w:val="12"/>
        <w:tblW w:w="957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833"/>
        <w:gridCol w:w="4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Borders>
              <w:top w:val="single" w:color="auto" w:sz="8" w:space="0"/>
              <w:bottom w:val="single" w:color="auto" w:sz="8" w:space="0"/>
            </w:tcBorders>
          </w:tcPr>
          <w:p>
            <w:pPr>
              <w:autoSpaceDE w:val="0"/>
              <w:autoSpaceDN w:val="0"/>
              <w:adjustRightInd w:val="0"/>
              <w:rPr>
                <w:rFonts w:ascii="Times New Roman"/>
                <w:b/>
                <w:sz w:val="21"/>
                <w:szCs w:val="21"/>
              </w:rPr>
            </w:pPr>
            <w:r>
              <w:rPr>
                <w:rFonts w:ascii="Times New Roman"/>
                <w:b/>
                <w:sz w:val="21"/>
                <w:szCs w:val="21"/>
              </w:rPr>
              <w:t>仪器参数</w:t>
            </w:r>
          </w:p>
        </w:tc>
        <w:tc>
          <w:tcPr>
            <w:tcW w:w="4737" w:type="dxa"/>
            <w:tcBorders>
              <w:top w:val="single" w:color="auto" w:sz="8" w:space="0"/>
              <w:bottom w:val="single" w:color="auto" w:sz="8" w:space="0"/>
            </w:tcBorders>
          </w:tcPr>
          <w:p>
            <w:pPr>
              <w:autoSpaceDE w:val="0"/>
              <w:autoSpaceDN w:val="0"/>
              <w:adjustRightInd w:val="0"/>
              <w:rPr>
                <w:rFonts w:ascii="Times New Roman"/>
                <w:b/>
                <w:sz w:val="21"/>
                <w:szCs w:val="21"/>
              </w:rPr>
            </w:pPr>
            <w:r>
              <w:rPr>
                <w:rFonts w:ascii="Times New Roman"/>
                <w:b/>
                <w:sz w:val="21"/>
                <w:szCs w:val="21"/>
              </w:rPr>
              <w:t>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Borders>
              <w:top w:val="single" w:color="auto" w:sz="8" w:space="0"/>
            </w:tcBorders>
          </w:tcPr>
          <w:p>
            <w:pPr>
              <w:autoSpaceDE w:val="0"/>
              <w:autoSpaceDN w:val="0"/>
              <w:adjustRightInd w:val="0"/>
              <w:rPr>
                <w:rFonts w:ascii="Times New Roman"/>
                <w:sz w:val="21"/>
                <w:szCs w:val="21"/>
              </w:rPr>
            </w:pPr>
            <w:r>
              <w:rPr>
                <w:rFonts w:ascii="Times New Roman"/>
                <w:sz w:val="21"/>
                <w:szCs w:val="21"/>
              </w:rPr>
              <w:t>射频功率 (Forward Power)</w:t>
            </w:r>
          </w:p>
        </w:tc>
        <w:tc>
          <w:tcPr>
            <w:tcW w:w="4737" w:type="dxa"/>
            <w:tcBorders>
              <w:top w:val="single" w:color="auto" w:sz="8" w:space="0"/>
            </w:tcBorders>
          </w:tcPr>
          <w:p>
            <w:pPr>
              <w:autoSpaceDE w:val="0"/>
              <w:autoSpaceDN w:val="0"/>
              <w:adjustRightInd w:val="0"/>
              <w:rPr>
                <w:rFonts w:ascii="Times New Roman"/>
                <w:sz w:val="21"/>
                <w:szCs w:val="21"/>
              </w:rPr>
            </w:pPr>
            <w:r>
              <w:rPr>
                <w:rFonts w:ascii="Times New Roman"/>
                <w:sz w:val="21"/>
                <w:szCs w:val="21"/>
              </w:rPr>
              <w:t>1500W</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等离子体气（Ar）流量</w:t>
            </w:r>
          </w:p>
        </w:tc>
        <w:tc>
          <w:tcPr>
            <w:tcW w:w="4737" w:type="dxa"/>
          </w:tcPr>
          <w:p>
            <w:pPr>
              <w:autoSpaceDE w:val="0"/>
              <w:autoSpaceDN w:val="0"/>
              <w:adjustRightInd w:val="0"/>
              <w:rPr>
                <w:rFonts w:ascii="Times New Roman"/>
                <w:sz w:val="21"/>
                <w:szCs w:val="21"/>
              </w:rPr>
            </w:pPr>
            <w:r>
              <w:rPr>
                <w:rFonts w:ascii="Times New Roman"/>
                <w:sz w:val="21"/>
                <w:szCs w:val="21"/>
              </w:rPr>
              <w:t>15L/min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4833" w:type="dxa"/>
          </w:tcPr>
          <w:p>
            <w:pPr>
              <w:autoSpaceDE w:val="0"/>
              <w:autoSpaceDN w:val="0"/>
              <w:adjustRightInd w:val="0"/>
              <w:rPr>
                <w:rFonts w:hint="eastAsia" w:ascii="Times New Roman" w:eastAsia="宋体"/>
                <w:color w:val="FF0000"/>
                <w:sz w:val="21"/>
                <w:szCs w:val="21"/>
                <w:highlight w:val="none"/>
                <w:lang w:eastAsia="zh-CN"/>
              </w:rPr>
            </w:pPr>
            <w:r>
              <w:rPr>
                <w:rFonts w:hint="eastAsia" w:ascii="Times New Roman"/>
                <w:color w:val="FF0000"/>
                <w:sz w:val="21"/>
                <w:szCs w:val="21"/>
                <w:highlight w:val="none"/>
                <w:lang w:eastAsia="zh-CN"/>
              </w:rPr>
              <w:t>载气流量</w:t>
            </w:r>
          </w:p>
        </w:tc>
        <w:tc>
          <w:tcPr>
            <w:tcW w:w="4737" w:type="dxa"/>
          </w:tcPr>
          <w:p>
            <w:pPr>
              <w:autoSpaceDE w:val="0"/>
              <w:autoSpaceDN w:val="0"/>
              <w:adjustRightInd w:val="0"/>
              <w:rPr>
                <w:rFonts w:ascii="Times New Roman"/>
                <w:color w:val="FF0000"/>
                <w:sz w:val="21"/>
                <w:szCs w:val="21"/>
                <w:highlight w:val="none"/>
              </w:rPr>
            </w:pPr>
            <w:r>
              <w:rPr>
                <w:rFonts w:ascii="Times New Roman"/>
                <w:color w:val="FF0000"/>
                <w:sz w:val="21"/>
                <w:szCs w:val="21"/>
                <w:highlight w:val="none"/>
              </w:rPr>
              <w:t>0.80L/min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ascii="Times New Roman" w:hAnsi="Times New Roman" w:eastAsia="宋体" w:cs="Times New Roman"/>
                <w:color w:val="FF0000"/>
                <w:sz w:val="21"/>
                <w:szCs w:val="21"/>
                <w:highlight w:val="none"/>
                <w:lang w:val="en-US" w:eastAsia="zh-CN" w:bidi="ar-SA"/>
              </w:rPr>
            </w:pPr>
            <w:r>
              <w:rPr>
                <w:rFonts w:ascii="Times New Roman"/>
                <w:color w:val="FF0000"/>
                <w:sz w:val="21"/>
                <w:szCs w:val="21"/>
                <w:highlight w:val="none"/>
              </w:rPr>
              <w:t>辅助气（Auxiliary Gas）流量</w:t>
            </w:r>
          </w:p>
        </w:tc>
        <w:tc>
          <w:tcPr>
            <w:tcW w:w="4737" w:type="dxa"/>
            <w:vAlign w:val="top"/>
          </w:tcPr>
          <w:p>
            <w:pPr>
              <w:autoSpaceDE w:val="0"/>
              <w:autoSpaceDN w:val="0"/>
              <w:adjustRightInd w:val="0"/>
              <w:rPr>
                <w:rFonts w:ascii="Times New Roman" w:hAnsi="Times New Roman" w:eastAsia="宋体" w:cs="Times New Roman"/>
                <w:color w:val="FF0000"/>
                <w:sz w:val="21"/>
                <w:szCs w:val="21"/>
                <w:highlight w:val="none"/>
                <w:lang w:val="en-US" w:eastAsia="zh-CN" w:bidi="ar-SA"/>
              </w:rPr>
            </w:pPr>
            <w:r>
              <w:rPr>
                <w:rFonts w:ascii="Times New Roman"/>
                <w:color w:val="FF0000"/>
                <w:sz w:val="21"/>
                <w:szCs w:val="21"/>
                <w:highlight w:val="none"/>
              </w:rPr>
              <w:t>0.</w:t>
            </w:r>
            <w:r>
              <w:rPr>
                <w:rFonts w:hint="eastAsia" w:ascii="Times New Roman"/>
                <w:color w:val="FF0000"/>
                <w:sz w:val="21"/>
                <w:szCs w:val="21"/>
                <w:highlight w:val="none"/>
                <w:lang w:val="en-US" w:eastAsia="zh-CN"/>
              </w:rPr>
              <w:t>4</w:t>
            </w:r>
            <w:r>
              <w:rPr>
                <w:rFonts w:ascii="Times New Roman"/>
                <w:color w:val="FF0000"/>
                <w:sz w:val="21"/>
                <w:szCs w:val="21"/>
                <w:highlight w:val="none"/>
              </w:rPr>
              <w:t>0L/min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ascii="Times New Roman" w:hAnsi="Times New Roman" w:eastAsia="宋体" w:cs="Times New Roman"/>
                <w:color w:val="FF0000"/>
                <w:sz w:val="21"/>
                <w:szCs w:val="21"/>
                <w:highlight w:val="none"/>
                <w:lang w:val="en-US" w:eastAsia="zh-CN" w:bidi="ar-SA"/>
              </w:rPr>
            </w:pPr>
            <w:r>
              <w:rPr>
                <w:rFonts w:ascii="Times New Roman"/>
                <w:color w:val="FF0000"/>
                <w:sz w:val="21"/>
                <w:szCs w:val="21"/>
                <w:highlight w:val="none"/>
              </w:rPr>
              <w:t>氦气（He）流量</w:t>
            </w:r>
          </w:p>
        </w:tc>
        <w:tc>
          <w:tcPr>
            <w:tcW w:w="4737" w:type="dxa"/>
            <w:vAlign w:val="top"/>
          </w:tcPr>
          <w:p>
            <w:pPr>
              <w:autoSpaceDE w:val="0"/>
              <w:autoSpaceDN w:val="0"/>
              <w:adjustRightInd w:val="0"/>
              <w:rPr>
                <w:rFonts w:ascii="Times New Roman" w:hAnsi="Times New Roman" w:eastAsia="宋体" w:cs="Times New Roman"/>
                <w:color w:val="FF0000"/>
                <w:sz w:val="21"/>
                <w:szCs w:val="21"/>
                <w:highlight w:val="none"/>
                <w:lang w:val="en-US" w:eastAsia="zh-CN" w:bidi="ar-SA"/>
              </w:rPr>
            </w:pPr>
            <w:r>
              <w:rPr>
                <w:rFonts w:hint="eastAsia" w:ascii="Times New Roman"/>
                <w:color w:val="FF0000"/>
                <w:sz w:val="21"/>
                <w:szCs w:val="21"/>
                <w:highlight w:val="none"/>
                <w:lang w:val="en-US" w:eastAsia="zh-CN"/>
              </w:rPr>
              <w:t>4-5m</w:t>
            </w:r>
            <w:r>
              <w:rPr>
                <w:rFonts w:ascii="Times New Roman"/>
                <w:color w:val="FF0000"/>
                <w:sz w:val="21"/>
                <w:szCs w:val="21"/>
                <w:highlight w:val="none"/>
              </w:rPr>
              <w:t>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四级杆真空度（Analyzer Press）</w:t>
            </w:r>
          </w:p>
        </w:tc>
        <w:tc>
          <w:tcPr>
            <w:tcW w:w="4737" w:type="dxa"/>
          </w:tcPr>
          <w:p>
            <w:pPr>
              <w:autoSpaceDE w:val="0"/>
              <w:autoSpaceDN w:val="0"/>
              <w:adjustRightInd w:val="0"/>
              <w:rPr>
                <w:rFonts w:ascii="Times New Roman"/>
                <w:sz w:val="21"/>
                <w:szCs w:val="21"/>
              </w:rPr>
            </w:pPr>
            <w:r>
              <w:rPr>
                <w:rFonts w:ascii="Times New Roman"/>
                <w:sz w:val="21"/>
                <w:szCs w:val="21"/>
              </w:rPr>
              <w:t>8.94×10</w:t>
            </w:r>
            <w:r>
              <w:rPr>
                <w:rFonts w:ascii="Times New Roman"/>
                <w:sz w:val="21"/>
                <w:szCs w:val="21"/>
                <w:vertAlign w:val="superscript"/>
              </w:rPr>
              <w:t>-5</w:t>
            </w:r>
            <w:r>
              <w:rPr>
                <w:rFonts w:ascii="Times New Roman"/>
                <w:sz w:val="21"/>
                <w:szCs w:val="21"/>
              </w:rPr>
              <w:t>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真空度（ IF/BK Press）</w:t>
            </w:r>
          </w:p>
        </w:tc>
        <w:tc>
          <w:tcPr>
            <w:tcW w:w="4737" w:type="dxa"/>
          </w:tcPr>
          <w:p>
            <w:pPr>
              <w:autoSpaceDE w:val="0"/>
              <w:autoSpaceDN w:val="0"/>
              <w:adjustRightInd w:val="0"/>
              <w:rPr>
                <w:rFonts w:ascii="Times New Roman"/>
                <w:sz w:val="21"/>
                <w:szCs w:val="21"/>
              </w:rPr>
            </w:pPr>
            <w:r>
              <w:rPr>
                <w:rFonts w:ascii="Times New Roman"/>
                <w:sz w:val="21"/>
                <w:szCs w:val="21"/>
              </w:rPr>
              <w:t>3.55Pa</w:t>
            </w:r>
            <w:bookmarkStart w:id="38" w:name="_GoBack"/>
            <w:bookmarkEnd w:id="38"/>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ascii="Times New Roman" w:hAnsi="Times New Roman" w:eastAsia="宋体" w:cs="Times New Roman"/>
                <w:strike/>
                <w:dstrike w:val="0"/>
                <w:color w:val="0070C0"/>
                <w:sz w:val="21"/>
                <w:szCs w:val="21"/>
                <w:highlight w:val="none"/>
                <w:lang w:val="en-US" w:eastAsia="zh-CN" w:bidi="ar-SA"/>
              </w:rPr>
            </w:pPr>
            <w:r>
              <w:rPr>
                <w:rFonts w:ascii="Times New Roman"/>
                <w:strike/>
                <w:dstrike w:val="0"/>
                <w:color w:val="0070C0"/>
                <w:sz w:val="21"/>
                <w:szCs w:val="21"/>
                <w:highlight w:val="none"/>
              </w:rPr>
              <w:t>氦气（He）流量</w:t>
            </w:r>
          </w:p>
        </w:tc>
        <w:tc>
          <w:tcPr>
            <w:tcW w:w="4737" w:type="dxa"/>
            <w:vAlign w:val="top"/>
          </w:tcPr>
          <w:p>
            <w:pPr>
              <w:autoSpaceDE w:val="0"/>
              <w:autoSpaceDN w:val="0"/>
              <w:adjustRightInd w:val="0"/>
              <w:rPr>
                <w:rFonts w:ascii="Times New Roman" w:hAnsi="Times New Roman" w:eastAsia="宋体" w:cs="Times New Roman"/>
                <w:strike/>
                <w:dstrike w:val="0"/>
                <w:color w:val="0070C0"/>
                <w:sz w:val="21"/>
                <w:szCs w:val="21"/>
                <w:highlight w:val="none"/>
                <w:lang w:val="en-US" w:eastAsia="zh-CN" w:bidi="ar-SA"/>
              </w:rPr>
            </w:pPr>
            <w:r>
              <w:rPr>
                <w:rFonts w:hint="eastAsia" w:ascii="Times New Roman"/>
                <w:strike/>
                <w:dstrike w:val="0"/>
                <w:color w:val="0070C0"/>
                <w:sz w:val="21"/>
                <w:szCs w:val="21"/>
                <w:highlight w:val="none"/>
                <w:lang w:val="en-US" w:eastAsia="zh-CN"/>
              </w:rPr>
              <w:t>0.8</w:t>
            </w:r>
            <w:r>
              <w:rPr>
                <w:rFonts w:ascii="Times New Roman"/>
                <w:strike/>
                <w:dstrike w:val="0"/>
                <w:color w:val="0070C0"/>
                <w:sz w:val="21"/>
                <w:szCs w:val="21"/>
                <w:highlight w:val="none"/>
              </w:rPr>
              <w:t>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Borders>
              <w:bottom w:val="single" w:color="auto" w:sz="4" w:space="0"/>
            </w:tcBorders>
          </w:tcPr>
          <w:p>
            <w:pPr>
              <w:autoSpaceDE w:val="0"/>
              <w:autoSpaceDN w:val="0"/>
              <w:adjustRightInd w:val="0"/>
              <w:rPr>
                <w:rFonts w:ascii="Times New Roman"/>
                <w:sz w:val="21"/>
                <w:szCs w:val="21"/>
              </w:rPr>
            </w:pPr>
            <w:r>
              <w:rPr>
                <w:rFonts w:ascii="Times New Roman"/>
                <w:sz w:val="21"/>
                <w:szCs w:val="21"/>
              </w:rPr>
              <w:t>雾化室温度（ S/C Temp）</w:t>
            </w:r>
          </w:p>
        </w:tc>
        <w:tc>
          <w:tcPr>
            <w:tcW w:w="4737" w:type="dxa"/>
            <w:tcBorders>
              <w:bottom w:val="single" w:color="auto" w:sz="4" w:space="0"/>
            </w:tcBorders>
          </w:tcPr>
          <w:p>
            <w:pPr>
              <w:autoSpaceDE w:val="0"/>
              <w:autoSpaceDN w:val="0"/>
              <w:adjustRightInd w:val="0"/>
              <w:rPr>
                <w:rFonts w:ascii="Times New Roman"/>
                <w:sz w:val="21"/>
                <w:szCs w:val="21"/>
              </w:rPr>
            </w:pPr>
            <w:r>
              <w:rPr>
                <w:rFonts w:ascii="Times New Roman"/>
                <w:sz w:val="21"/>
                <w:szCs w:val="21"/>
              </w:rPr>
              <w:t>2</w:t>
            </w:r>
            <w:r>
              <w:rPr>
                <w:rFonts w:hint="eastAsia" w:hAnsi="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调谐(Tune)元素</w:t>
            </w:r>
          </w:p>
        </w:tc>
        <w:tc>
          <w:tcPr>
            <w:tcW w:w="4737" w:type="dxa"/>
          </w:tcPr>
          <w:p>
            <w:pPr>
              <w:autoSpaceDE w:val="0"/>
              <w:autoSpaceDN w:val="0"/>
              <w:adjustRightInd w:val="0"/>
              <w:rPr>
                <w:rFonts w:ascii="Times New Roman"/>
                <w:sz w:val="21"/>
                <w:szCs w:val="21"/>
              </w:rPr>
            </w:pPr>
            <w:r>
              <w:rPr>
                <w:rFonts w:ascii="Times New Roman"/>
                <w:sz w:val="21"/>
                <w:szCs w:val="21"/>
              </w:rPr>
              <w:t>锂（Li 7），钇（Y 89），铊（Tl 205）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循环水压力（Circulating Water Press）</w:t>
            </w:r>
          </w:p>
        </w:tc>
        <w:tc>
          <w:tcPr>
            <w:tcW w:w="4737" w:type="dxa"/>
          </w:tcPr>
          <w:p>
            <w:pPr>
              <w:autoSpaceDE w:val="0"/>
              <w:autoSpaceDN w:val="0"/>
              <w:adjustRightInd w:val="0"/>
              <w:rPr>
                <w:rFonts w:ascii="Times New Roman"/>
                <w:sz w:val="21"/>
                <w:szCs w:val="21"/>
              </w:rPr>
            </w:pPr>
            <w:r>
              <w:rPr>
                <w:rFonts w:ascii="Times New Roman"/>
                <w:sz w:val="21"/>
                <w:szCs w:val="21"/>
              </w:rPr>
              <w:t>300Kpa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rPr>
                <w:rFonts w:ascii="Times New Roman"/>
                <w:sz w:val="21"/>
                <w:szCs w:val="21"/>
              </w:rPr>
            </w:pPr>
            <w:r>
              <w:rPr>
                <w:rFonts w:ascii="Times New Roman"/>
                <w:sz w:val="21"/>
                <w:szCs w:val="21"/>
              </w:rPr>
              <w:t>排风量（Exhaust Air Rate）</w:t>
            </w:r>
          </w:p>
        </w:tc>
        <w:tc>
          <w:tcPr>
            <w:tcW w:w="4737" w:type="dxa"/>
          </w:tcPr>
          <w:p>
            <w:pPr>
              <w:rPr>
                <w:rFonts w:ascii="Times New Roman"/>
                <w:sz w:val="21"/>
                <w:szCs w:val="21"/>
              </w:rPr>
            </w:pPr>
            <w:r>
              <w:rPr>
                <w:rFonts w:ascii="Times New Roman"/>
                <w:sz w:val="21"/>
                <w:szCs w:val="21"/>
              </w:rPr>
              <w:t>13m/s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rPr>
                <w:rFonts w:ascii="Times New Roman"/>
                <w:sz w:val="21"/>
                <w:szCs w:val="21"/>
              </w:rPr>
            </w:pPr>
            <w:r>
              <w:rPr>
                <w:rFonts w:hint="eastAsia" w:ascii="Times New Roman"/>
                <w:sz w:val="21"/>
                <w:szCs w:val="21"/>
              </w:rPr>
              <w:t>测定模式（</w:t>
            </w:r>
            <w:r>
              <w:rPr>
                <w:rFonts w:ascii="Times New Roman"/>
                <w:sz w:val="21"/>
                <w:szCs w:val="21"/>
              </w:rPr>
              <w:t>Measurement mode</w:t>
            </w:r>
            <w:r>
              <w:rPr>
                <w:rFonts w:hint="eastAsia" w:ascii="Times New Roman"/>
                <w:sz w:val="21"/>
                <w:szCs w:val="21"/>
              </w:rPr>
              <w:t>）</w:t>
            </w:r>
          </w:p>
        </w:tc>
        <w:tc>
          <w:tcPr>
            <w:tcW w:w="4737" w:type="dxa"/>
          </w:tcPr>
          <w:p>
            <w:pPr>
              <w:rPr>
                <w:rFonts w:ascii="Times New Roman"/>
                <w:sz w:val="21"/>
                <w:szCs w:val="21"/>
              </w:rPr>
            </w:pPr>
            <w:r>
              <w:rPr>
                <w:rFonts w:hint="eastAsia" w:ascii="Times New Roman"/>
                <w:sz w:val="21"/>
                <w:szCs w:val="21"/>
              </w:rPr>
              <w:t>动能歧视模式（</w:t>
            </w:r>
            <w:r>
              <w:rPr>
                <w:rFonts w:ascii="Times New Roman"/>
                <w:sz w:val="21"/>
                <w:szCs w:val="21"/>
              </w:rPr>
              <w:t>KED</w:t>
            </w:r>
            <w:r>
              <w:rPr>
                <w:rFonts w:hint="eastAsia" w:ascii="Times New Roman"/>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积分时间（Integral Time）</w:t>
            </w:r>
          </w:p>
        </w:tc>
        <w:tc>
          <w:tcPr>
            <w:tcW w:w="4737" w:type="dxa"/>
          </w:tcPr>
          <w:p>
            <w:pPr>
              <w:autoSpaceDE w:val="0"/>
              <w:autoSpaceDN w:val="0"/>
              <w:adjustRightInd w:val="0"/>
              <w:rPr>
                <w:rFonts w:ascii="Times New Roman"/>
                <w:sz w:val="21"/>
                <w:szCs w:val="21"/>
              </w:rPr>
            </w:pPr>
            <w:r>
              <w:rPr>
                <w:rFonts w:ascii="Times New Roman"/>
                <w:sz w:val="21"/>
                <w:szCs w:val="21"/>
              </w:rPr>
              <w:t>0.3s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峰型点数（Peak Pattern）</w:t>
            </w:r>
          </w:p>
        </w:tc>
        <w:tc>
          <w:tcPr>
            <w:tcW w:w="4737" w:type="dxa"/>
          </w:tcPr>
          <w:p>
            <w:pPr>
              <w:autoSpaceDE w:val="0"/>
              <w:autoSpaceDN w:val="0"/>
              <w:adjustRightInd w:val="0"/>
              <w:rPr>
                <w:rFonts w:ascii="Times New Roman"/>
                <w:sz w:val="21"/>
                <w:szCs w:val="21"/>
              </w:rPr>
            </w:pPr>
            <w:r>
              <w:rPr>
                <w:rFonts w:ascii="Times New Roman"/>
                <w:sz w:val="21"/>
                <w:szCs w:val="21"/>
              </w:rPr>
              <w:t>3点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每点重复次数（Replicates）</w:t>
            </w:r>
          </w:p>
        </w:tc>
        <w:tc>
          <w:tcPr>
            <w:tcW w:w="4737" w:type="dxa"/>
          </w:tcPr>
          <w:p>
            <w:pPr>
              <w:autoSpaceDE w:val="0"/>
              <w:autoSpaceDN w:val="0"/>
              <w:adjustRightInd w:val="0"/>
              <w:rPr>
                <w:rFonts w:ascii="Times New Roman"/>
                <w:sz w:val="21"/>
                <w:szCs w:val="21"/>
              </w:rPr>
            </w:pPr>
            <w:r>
              <w:rPr>
                <w:rFonts w:ascii="Times New Roman"/>
                <w:sz w:val="21"/>
                <w:szCs w:val="21"/>
              </w:rPr>
              <w:t>3次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rFonts w:ascii="Times New Roman"/>
                <w:sz w:val="21"/>
                <w:szCs w:val="21"/>
              </w:rPr>
            </w:pPr>
            <w:r>
              <w:rPr>
                <w:rFonts w:ascii="Times New Roman"/>
                <w:sz w:val="21"/>
                <w:szCs w:val="21"/>
              </w:rPr>
              <w:t>扫描次数（Sweeps）</w:t>
            </w:r>
          </w:p>
        </w:tc>
        <w:tc>
          <w:tcPr>
            <w:tcW w:w="4737" w:type="dxa"/>
          </w:tcPr>
          <w:p>
            <w:pPr>
              <w:autoSpaceDE w:val="0"/>
              <w:autoSpaceDN w:val="0"/>
              <w:adjustRightInd w:val="0"/>
              <w:rPr>
                <w:rFonts w:ascii="Times New Roman"/>
                <w:sz w:val="21"/>
                <w:szCs w:val="21"/>
              </w:rPr>
            </w:pPr>
            <w:r>
              <w:rPr>
                <w:rFonts w:ascii="Times New Roman"/>
                <w:sz w:val="21"/>
                <w:szCs w:val="21"/>
              </w:rPr>
              <w:t>50次</w:t>
            </w:r>
          </w:p>
        </w:tc>
      </w:tr>
    </w:tbl>
    <w:p>
      <w:pPr>
        <w:pStyle w:val="20"/>
        <w:ind w:firstLine="420"/>
        <w:rPr>
          <w:rFonts w:ascii="Times New Roman"/>
          <w:szCs w:val="21"/>
        </w:rPr>
      </w:pPr>
    </w:p>
    <w:p>
      <w:pPr>
        <w:pStyle w:val="20"/>
        <w:ind w:firstLine="420"/>
        <w:rPr>
          <w:rFonts w:ascii="Times New Roman"/>
          <w:szCs w:val="21"/>
        </w:rPr>
      </w:pPr>
    </w:p>
    <w:p>
      <w:pPr>
        <w:pStyle w:val="20"/>
        <w:ind w:firstLine="420"/>
        <w:rPr>
          <w:rFonts w:ascii="Times New Roman"/>
          <w:szCs w:val="21"/>
        </w:rPr>
      </w:pPr>
    </w:p>
    <w:p>
      <w:pPr>
        <w:pStyle w:val="20"/>
        <w:ind w:firstLine="0" w:firstLineChars="0"/>
        <w:jc w:val="center"/>
        <w:rPr>
          <w:rFonts w:ascii="Times New Roman"/>
          <w:b/>
          <w:szCs w:val="21"/>
        </w:rPr>
      </w:pPr>
    </w:p>
    <w:sectPr>
      <w:footerReference r:id="rId13" w:type="default"/>
      <w:footerReference r:id="rId14" w:type="even"/>
      <w:pgSz w:w="11907" w:h="16839"/>
      <w:pgMar w:top="1418" w:right="1418" w:bottom="1134" w:left="1134" w:header="1134"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rStyle w:val="15"/>
      </w:rPr>
    </w:pPr>
    <w:r>
      <w:fldChar w:fldCharType="begin"/>
    </w:r>
    <w:r>
      <w:rPr>
        <w:rStyle w:val="15"/>
      </w:rPr>
      <w:instrText xml:space="preserve">PAGE  </w:instrText>
    </w:r>
    <w:r>
      <w:fldChar w:fldCharType="separate"/>
    </w:r>
    <w:r>
      <w:rPr>
        <w:rStyle w:val="15"/>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15"/>
      </w:rPr>
    </w:pPr>
    <w:r>
      <w:fldChar w:fldCharType="begin"/>
    </w:r>
    <w:r>
      <w:rPr>
        <w:rStyle w:val="15"/>
      </w:rPr>
      <w:instrText xml:space="preserve">PAGE  </w:instrText>
    </w:r>
    <w:r>
      <w:fldChar w:fldCharType="separate"/>
    </w:r>
    <w:r>
      <w:rPr>
        <w:rStyle w:val="15"/>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wordWrap w:val="0"/>
      <w:ind w:left="340" w:leftChars="100"/>
      <w:rPr>
        <w:rStyle w:val="15"/>
      </w:rPr>
    </w:pPr>
    <w:r>
      <w:rPr>
        <w:rStyle w:val="15"/>
      </w:rPr>
      <w:ptab w:relativeTo="indent" w:alignment="right" w:leader="none"/>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15"/>
      </w:rPr>
    </w:pPr>
    <w:r>
      <w:fldChar w:fldCharType="begin"/>
    </w:r>
    <w:r>
      <w:rPr>
        <w:rStyle w:val="15"/>
      </w:rPr>
      <w:instrText xml:space="preserve">PAGE  </w:instrText>
    </w:r>
    <w:r>
      <w:fldChar w:fldCharType="separate"/>
    </w:r>
    <w:r>
      <w:rPr>
        <w:rStyle w:val="15"/>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wordWrap w:val="0"/>
      <w:ind w:left="340" w:leftChars="100" w:right="227"/>
      <w:rPr>
        <w:rStyle w:val="15"/>
        <w:rFonts w:ascii="宋体" w:hAnsi="宋体"/>
      </w:rPr>
    </w:pPr>
    <w:r>
      <w:ptab w:relativeTo="margin" w:alignment="right" w:leader="none"/>
    </w: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left="227"/>
      <w:rPr>
        <w:rStyle w:val="15"/>
      </w:rPr>
    </w:pPr>
    <w:r>
      <w:fldChar w:fldCharType="begin"/>
    </w:r>
    <w:r>
      <w:rPr>
        <w:rStyle w:val="15"/>
      </w:rPr>
      <w:instrText xml:space="preserve">PAGE  </w:instrText>
    </w:r>
    <w:r>
      <w:fldChar w:fldCharType="separate"/>
    </w:r>
    <w:r>
      <w:rPr>
        <w:rStyle w:val="15"/>
      </w:rP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GB/T 9983—××××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lear" w:pos="4154"/>
        <w:tab w:val="clear" w:pos="8306"/>
      </w:tabs>
    </w:pPr>
    <w:r>
      <w:t>GB/T 9983—××××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wordWrap w:val="0"/>
      <w:rPr>
        <w:rFonts w:ascii="黑体" w:hAnsi="黑体" w:eastAsia="黑体"/>
      </w:rPr>
    </w:pPr>
    <w:r>
      <w:rPr>
        <w:rFonts w:hint="eastAsia" w:ascii="黑体" w:hAnsi="黑体" w:eastAsia="黑体"/>
      </w:rPr>
      <w:t>G</w:t>
    </w:r>
    <w:r>
      <w:rPr>
        <w:rFonts w:ascii="黑体" w:hAnsi="黑体" w:eastAsia="黑体"/>
      </w:rPr>
      <w:t>B</w:t>
    </w:r>
    <w:r>
      <w:rPr>
        <w:rFonts w:hint="eastAsia" w:ascii="黑体" w:hAnsi="黑体" w:eastAsia="黑体"/>
      </w:rPr>
      <w:t>/T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lear" w:pos="4154"/>
        <w:tab w:val="clear" w:pos="8306"/>
      </w:tabs>
    </w:pPr>
    <w:r>
      <w:rPr>
        <w:rFonts w:hint="eastAsia"/>
      </w:rPr>
      <w:t>GB/T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27D5B"/>
    <w:multiLevelType w:val="multilevel"/>
    <w:tmpl w:val="22827D5B"/>
    <w:lvl w:ilvl="0" w:tentative="0">
      <w:start w:val="1"/>
      <w:numFmt w:val="none"/>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2A8F7113"/>
    <w:multiLevelType w:val="multilevel"/>
    <w:tmpl w:val="2A8F7113"/>
    <w:lvl w:ilvl="0" w:tentative="0">
      <w:start w:val="1"/>
      <w:numFmt w:val="upperLetter"/>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documentProtection w:enforcement="0"/>
  <w:defaultTabStop w:val="8160"/>
  <w:evenAndOddHeaders w:val="1"/>
  <w:drawingGridHorizontalSpacing w:val="170"/>
  <w:drawingGridVerticalSpacing w:val="231"/>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wMzFjNDNmYjFiM2U5MzZkMDAxNjJlOTY3MzQyZTgifQ=="/>
  </w:docVars>
  <w:rsids>
    <w:rsidRoot w:val="00172A27"/>
    <w:rsid w:val="00000CD7"/>
    <w:rsid w:val="00002B38"/>
    <w:rsid w:val="00005192"/>
    <w:rsid w:val="0000799D"/>
    <w:rsid w:val="00013AFB"/>
    <w:rsid w:val="000145A1"/>
    <w:rsid w:val="000152D5"/>
    <w:rsid w:val="00020EBD"/>
    <w:rsid w:val="000213F0"/>
    <w:rsid w:val="00021BED"/>
    <w:rsid w:val="00022EFD"/>
    <w:rsid w:val="0002336C"/>
    <w:rsid w:val="0002488F"/>
    <w:rsid w:val="00027BC5"/>
    <w:rsid w:val="00031278"/>
    <w:rsid w:val="00046EB7"/>
    <w:rsid w:val="0005292F"/>
    <w:rsid w:val="00054804"/>
    <w:rsid w:val="0005543C"/>
    <w:rsid w:val="00056E0A"/>
    <w:rsid w:val="0005704B"/>
    <w:rsid w:val="00057CFD"/>
    <w:rsid w:val="00060E5F"/>
    <w:rsid w:val="0006284B"/>
    <w:rsid w:val="00066007"/>
    <w:rsid w:val="00066D0A"/>
    <w:rsid w:val="00067058"/>
    <w:rsid w:val="00067310"/>
    <w:rsid w:val="00071DBB"/>
    <w:rsid w:val="00072D56"/>
    <w:rsid w:val="00073051"/>
    <w:rsid w:val="000755A3"/>
    <w:rsid w:val="00075A8D"/>
    <w:rsid w:val="00076A5C"/>
    <w:rsid w:val="000770B9"/>
    <w:rsid w:val="00077395"/>
    <w:rsid w:val="0007797F"/>
    <w:rsid w:val="00083A4A"/>
    <w:rsid w:val="000849CA"/>
    <w:rsid w:val="00084FC4"/>
    <w:rsid w:val="000861BF"/>
    <w:rsid w:val="00087286"/>
    <w:rsid w:val="00087C30"/>
    <w:rsid w:val="00092438"/>
    <w:rsid w:val="000935F3"/>
    <w:rsid w:val="000954C3"/>
    <w:rsid w:val="00097CB6"/>
    <w:rsid w:val="000A0553"/>
    <w:rsid w:val="000A4895"/>
    <w:rsid w:val="000A4BDE"/>
    <w:rsid w:val="000B250E"/>
    <w:rsid w:val="000B46F3"/>
    <w:rsid w:val="000B5A9A"/>
    <w:rsid w:val="000B7FA9"/>
    <w:rsid w:val="000C0E56"/>
    <w:rsid w:val="000C4029"/>
    <w:rsid w:val="000C4283"/>
    <w:rsid w:val="000D1B8A"/>
    <w:rsid w:val="000D2727"/>
    <w:rsid w:val="000D5F07"/>
    <w:rsid w:val="000D6B13"/>
    <w:rsid w:val="000D792E"/>
    <w:rsid w:val="000E26DA"/>
    <w:rsid w:val="000E30F4"/>
    <w:rsid w:val="000E775D"/>
    <w:rsid w:val="000F2326"/>
    <w:rsid w:val="000F65D0"/>
    <w:rsid w:val="00100079"/>
    <w:rsid w:val="0010162F"/>
    <w:rsid w:val="001020A8"/>
    <w:rsid w:val="00103393"/>
    <w:rsid w:val="00104765"/>
    <w:rsid w:val="00107701"/>
    <w:rsid w:val="00113D61"/>
    <w:rsid w:val="00116C8D"/>
    <w:rsid w:val="00121E6F"/>
    <w:rsid w:val="001221E0"/>
    <w:rsid w:val="00124010"/>
    <w:rsid w:val="001255DE"/>
    <w:rsid w:val="001269DB"/>
    <w:rsid w:val="001321CC"/>
    <w:rsid w:val="0013473E"/>
    <w:rsid w:val="00135D5F"/>
    <w:rsid w:val="001409CB"/>
    <w:rsid w:val="00144D83"/>
    <w:rsid w:val="0015118C"/>
    <w:rsid w:val="00153492"/>
    <w:rsid w:val="00153B5E"/>
    <w:rsid w:val="00154953"/>
    <w:rsid w:val="0015515D"/>
    <w:rsid w:val="001556E2"/>
    <w:rsid w:val="00156524"/>
    <w:rsid w:val="001603FC"/>
    <w:rsid w:val="00160CF2"/>
    <w:rsid w:val="00164D33"/>
    <w:rsid w:val="00167C84"/>
    <w:rsid w:val="00172114"/>
    <w:rsid w:val="00172A27"/>
    <w:rsid w:val="00180A76"/>
    <w:rsid w:val="001821E0"/>
    <w:rsid w:val="001828CB"/>
    <w:rsid w:val="00182A00"/>
    <w:rsid w:val="00182D50"/>
    <w:rsid w:val="0018657D"/>
    <w:rsid w:val="00186A6E"/>
    <w:rsid w:val="00187924"/>
    <w:rsid w:val="00194206"/>
    <w:rsid w:val="0019722B"/>
    <w:rsid w:val="001A0AD9"/>
    <w:rsid w:val="001A5729"/>
    <w:rsid w:val="001A61B8"/>
    <w:rsid w:val="001A74EC"/>
    <w:rsid w:val="001B045A"/>
    <w:rsid w:val="001B0C7E"/>
    <w:rsid w:val="001B68FC"/>
    <w:rsid w:val="001B7CF2"/>
    <w:rsid w:val="001C07EA"/>
    <w:rsid w:val="001C26D5"/>
    <w:rsid w:val="001C7D32"/>
    <w:rsid w:val="001D058F"/>
    <w:rsid w:val="001D3D51"/>
    <w:rsid w:val="001D6F18"/>
    <w:rsid w:val="001F0B1B"/>
    <w:rsid w:val="001F2B8D"/>
    <w:rsid w:val="001F68C8"/>
    <w:rsid w:val="0020121D"/>
    <w:rsid w:val="002030A8"/>
    <w:rsid w:val="0020339F"/>
    <w:rsid w:val="0020463E"/>
    <w:rsid w:val="0020619A"/>
    <w:rsid w:val="002077EE"/>
    <w:rsid w:val="0021149F"/>
    <w:rsid w:val="00213130"/>
    <w:rsid w:val="002133A4"/>
    <w:rsid w:val="002138FF"/>
    <w:rsid w:val="00215343"/>
    <w:rsid w:val="00217AF7"/>
    <w:rsid w:val="00220B13"/>
    <w:rsid w:val="00225AB2"/>
    <w:rsid w:val="0023044E"/>
    <w:rsid w:val="00232C34"/>
    <w:rsid w:val="002366AA"/>
    <w:rsid w:val="00237EDB"/>
    <w:rsid w:val="00241142"/>
    <w:rsid w:val="002439DA"/>
    <w:rsid w:val="00245FA4"/>
    <w:rsid w:val="002473FB"/>
    <w:rsid w:val="002503F2"/>
    <w:rsid w:val="00252BBE"/>
    <w:rsid w:val="00252D18"/>
    <w:rsid w:val="0025520E"/>
    <w:rsid w:val="00261909"/>
    <w:rsid w:val="002622F5"/>
    <w:rsid w:val="00262B37"/>
    <w:rsid w:val="00263D2D"/>
    <w:rsid w:val="002641CD"/>
    <w:rsid w:val="0027123C"/>
    <w:rsid w:val="00272AE1"/>
    <w:rsid w:val="00272B62"/>
    <w:rsid w:val="002738B5"/>
    <w:rsid w:val="00275C72"/>
    <w:rsid w:val="0028040E"/>
    <w:rsid w:val="002833C7"/>
    <w:rsid w:val="00285B9E"/>
    <w:rsid w:val="002950EA"/>
    <w:rsid w:val="00297879"/>
    <w:rsid w:val="002A7C1C"/>
    <w:rsid w:val="002B1E32"/>
    <w:rsid w:val="002B4B48"/>
    <w:rsid w:val="002B5E90"/>
    <w:rsid w:val="002B73FD"/>
    <w:rsid w:val="002B7C8C"/>
    <w:rsid w:val="002C592C"/>
    <w:rsid w:val="002C6D7D"/>
    <w:rsid w:val="002D1368"/>
    <w:rsid w:val="002D21B1"/>
    <w:rsid w:val="002D2F51"/>
    <w:rsid w:val="002E0589"/>
    <w:rsid w:val="002E2EA1"/>
    <w:rsid w:val="002F0F32"/>
    <w:rsid w:val="002F510F"/>
    <w:rsid w:val="002F6391"/>
    <w:rsid w:val="003001DD"/>
    <w:rsid w:val="00301B3F"/>
    <w:rsid w:val="00303FDC"/>
    <w:rsid w:val="00304511"/>
    <w:rsid w:val="00306296"/>
    <w:rsid w:val="00311870"/>
    <w:rsid w:val="003207AE"/>
    <w:rsid w:val="00320F5B"/>
    <w:rsid w:val="003247B8"/>
    <w:rsid w:val="00324B28"/>
    <w:rsid w:val="00324C02"/>
    <w:rsid w:val="00331482"/>
    <w:rsid w:val="00333D69"/>
    <w:rsid w:val="003348F1"/>
    <w:rsid w:val="00337528"/>
    <w:rsid w:val="0034528C"/>
    <w:rsid w:val="00347490"/>
    <w:rsid w:val="00350CFF"/>
    <w:rsid w:val="0035520A"/>
    <w:rsid w:val="003578E1"/>
    <w:rsid w:val="00360769"/>
    <w:rsid w:val="00360EEE"/>
    <w:rsid w:val="00361394"/>
    <w:rsid w:val="00361928"/>
    <w:rsid w:val="003722B3"/>
    <w:rsid w:val="00375856"/>
    <w:rsid w:val="00381765"/>
    <w:rsid w:val="00382132"/>
    <w:rsid w:val="00383B37"/>
    <w:rsid w:val="00383FAC"/>
    <w:rsid w:val="003843C8"/>
    <w:rsid w:val="00385426"/>
    <w:rsid w:val="003854D5"/>
    <w:rsid w:val="003862D7"/>
    <w:rsid w:val="00393B47"/>
    <w:rsid w:val="00394782"/>
    <w:rsid w:val="00394D8C"/>
    <w:rsid w:val="00396346"/>
    <w:rsid w:val="003A088C"/>
    <w:rsid w:val="003A0A23"/>
    <w:rsid w:val="003A17FC"/>
    <w:rsid w:val="003A2808"/>
    <w:rsid w:val="003A29F0"/>
    <w:rsid w:val="003A7576"/>
    <w:rsid w:val="003B23E1"/>
    <w:rsid w:val="003B2BB0"/>
    <w:rsid w:val="003B6AA6"/>
    <w:rsid w:val="003B7392"/>
    <w:rsid w:val="003C3F79"/>
    <w:rsid w:val="003C6C2A"/>
    <w:rsid w:val="003D0149"/>
    <w:rsid w:val="003D0F5D"/>
    <w:rsid w:val="003D1889"/>
    <w:rsid w:val="003D290B"/>
    <w:rsid w:val="003D4205"/>
    <w:rsid w:val="003D7A9F"/>
    <w:rsid w:val="003E02D2"/>
    <w:rsid w:val="003E26B3"/>
    <w:rsid w:val="003E2A5A"/>
    <w:rsid w:val="003E2F77"/>
    <w:rsid w:val="003F0261"/>
    <w:rsid w:val="003F097D"/>
    <w:rsid w:val="003F10EF"/>
    <w:rsid w:val="003F2AA3"/>
    <w:rsid w:val="003F53DD"/>
    <w:rsid w:val="003F67A9"/>
    <w:rsid w:val="004006C4"/>
    <w:rsid w:val="00401E45"/>
    <w:rsid w:val="00402DF6"/>
    <w:rsid w:val="004057AF"/>
    <w:rsid w:val="00415892"/>
    <w:rsid w:val="00415E0E"/>
    <w:rsid w:val="00415F00"/>
    <w:rsid w:val="004223CC"/>
    <w:rsid w:val="00431910"/>
    <w:rsid w:val="00433CC0"/>
    <w:rsid w:val="0043545C"/>
    <w:rsid w:val="00435E69"/>
    <w:rsid w:val="00436BE6"/>
    <w:rsid w:val="00442B6B"/>
    <w:rsid w:val="00443D32"/>
    <w:rsid w:val="00446FF0"/>
    <w:rsid w:val="00446FF4"/>
    <w:rsid w:val="00447338"/>
    <w:rsid w:val="00452AD3"/>
    <w:rsid w:val="00456699"/>
    <w:rsid w:val="00457F84"/>
    <w:rsid w:val="00461A96"/>
    <w:rsid w:val="0046314E"/>
    <w:rsid w:val="0046499C"/>
    <w:rsid w:val="00467D38"/>
    <w:rsid w:val="0047046B"/>
    <w:rsid w:val="004726BA"/>
    <w:rsid w:val="00472E4A"/>
    <w:rsid w:val="00475F9C"/>
    <w:rsid w:val="00476CAD"/>
    <w:rsid w:val="004815DA"/>
    <w:rsid w:val="00483A5F"/>
    <w:rsid w:val="00486D2C"/>
    <w:rsid w:val="00490358"/>
    <w:rsid w:val="004909C5"/>
    <w:rsid w:val="0049504E"/>
    <w:rsid w:val="00497141"/>
    <w:rsid w:val="004A121C"/>
    <w:rsid w:val="004A6A2F"/>
    <w:rsid w:val="004B3047"/>
    <w:rsid w:val="004B3B4C"/>
    <w:rsid w:val="004C01F2"/>
    <w:rsid w:val="004C0753"/>
    <w:rsid w:val="004C2F2E"/>
    <w:rsid w:val="004C37F8"/>
    <w:rsid w:val="004C7F6C"/>
    <w:rsid w:val="004D1C9C"/>
    <w:rsid w:val="004D593D"/>
    <w:rsid w:val="004E004C"/>
    <w:rsid w:val="004E250A"/>
    <w:rsid w:val="004E3CD4"/>
    <w:rsid w:val="004F01FB"/>
    <w:rsid w:val="004F0CC6"/>
    <w:rsid w:val="004F5AE0"/>
    <w:rsid w:val="004F5DD9"/>
    <w:rsid w:val="004F7328"/>
    <w:rsid w:val="005011B7"/>
    <w:rsid w:val="005115CA"/>
    <w:rsid w:val="005134FC"/>
    <w:rsid w:val="00514881"/>
    <w:rsid w:val="00517358"/>
    <w:rsid w:val="00525435"/>
    <w:rsid w:val="00525708"/>
    <w:rsid w:val="00525A3D"/>
    <w:rsid w:val="00536D38"/>
    <w:rsid w:val="005376D1"/>
    <w:rsid w:val="00537CD6"/>
    <w:rsid w:val="0054052F"/>
    <w:rsid w:val="00540F45"/>
    <w:rsid w:val="005427D9"/>
    <w:rsid w:val="00545472"/>
    <w:rsid w:val="00545C98"/>
    <w:rsid w:val="00546273"/>
    <w:rsid w:val="00546F70"/>
    <w:rsid w:val="0055058C"/>
    <w:rsid w:val="00550A04"/>
    <w:rsid w:val="0055235A"/>
    <w:rsid w:val="0055329A"/>
    <w:rsid w:val="005533FC"/>
    <w:rsid w:val="005535EB"/>
    <w:rsid w:val="00553CCD"/>
    <w:rsid w:val="00553D47"/>
    <w:rsid w:val="0055656F"/>
    <w:rsid w:val="00556798"/>
    <w:rsid w:val="00557A53"/>
    <w:rsid w:val="005650E0"/>
    <w:rsid w:val="00565A1E"/>
    <w:rsid w:val="0056649C"/>
    <w:rsid w:val="005718DE"/>
    <w:rsid w:val="00572F15"/>
    <w:rsid w:val="00576975"/>
    <w:rsid w:val="00577A50"/>
    <w:rsid w:val="00582253"/>
    <w:rsid w:val="0058286D"/>
    <w:rsid w:val="00590A37"/>
    <w:rsid w:val="00593A6E"/>
    <w:rsid w:val="005961EC"/>
    <w:rsid w:val="005A007A"/>
    <w:rsid w:val="005A2317"/>
    <w:rsid w:val="005A7D7A"/>
    <w:rsid w:val="005B1C5E"/>
    <w:rsid w:val="005B2D08"/>
    <w:rsid w:val="005B4B1C"/>
    <w:rsid w:val="005B7421"/>
    <w:rsid w:val="005C120B"/>
    <w:rsid w:val="005C214E"/>
    <w:rsid w:val="005C2464"/>
    <w:rsid w:val="005C2C29"/>
    <w:rsid w:val="005C5205"/>
    <w:rsid w:val="005C5AAC"/>
    <w:rsid w:val="005C7783"/>
    <w:rsid w:val="005C7941"/>
    <w:rsid w:val="005C7B87"/>
    <w:rsid w:val="005D181C"/>
    <w:rsid w:val="005D20AD"/>
    <w:rsid w:val="005D27AE"/>
    <w:rsid w:val="005D3FF3"/>
    <w:rsid w:val="005D788D"/>
    <w:rsid w:val="005D7D1D"/>
    <w:rsid w:val="005E1004"/>
    <w:rsid w:val="005E4148"/>
    <w:rsid w:val="005F083D"/>
    <w:rsid w:val="005F2036"/>
    <w:rsid w:val="005F7FF4"/>
    <w:rsid w:val="0060061A"/>
    <w:rsid w:val="00601E06"/>
    <w:rsid w:val="00604688"/>
    <w:rsid w:val="00605309"/>
    <w:rsid w:val="00613B09"/>
    <w:rsid w:val="00615309"/>
    <w:rsid w:val="00615F87"/>
    <w:rsid w:val="00616462"/>
    <w:rsid w:val="00617FE7"/>
    <w:rsid w:val="0062236B"/>
    <w:rsid w:val="006227F4"/>
    <w:rsid w:val="0062447D"/>
    <w:rsid w:val="00626B03"/>
    <w:rsid w:val="00630BA6"/>
    <w:rsid w:val="00632CFF"/>
    <w:rsid w:val="00633BC0"/>
    <w:rsid w:val="00635103"/>
    <w:rsid w:val="00635D6A"/>
    <w:rsid w:val="00637766"/>
    <w:rsid w:val="00641859"/>
    <w:rsid w:val="00642AD4"/>
    <w:rsid w:val="00642BF9"/>
    <w:rsid w:val="006437F7"/>
    <w:rsid w:val="006453FE"/>
    <w:rsid w:val="00650729"/>
    <w:rsid w:val="00651F5C"/>
    <w:rsid w:val="006539A3"/>
    <w:rsid w:val="00655543"/>
    <w:rsid w:val="00662A7A"/>
    <w:rsid w:val="00663D19"/>
    <w:rsid w:val="006668EC"/>
    <w:rsid w:val="00667802"/>
    <w:rsid w:val="006718F7"/>
    <w:rsid w:val="00676ADF"/>
    <w:rsid w:val="00682B5B"/>
    <w:rsid w:val="006842A2"/>
    <w:rsid w:val="00693278"/>
    <w:rsid w:val="006936E8"/>
    <w:rsid w:val="006949F0"/>
    <w:rsid w:val="00694AE4"/>
    <w:rsid w:val="00695783"/>
    <w:rsid w:val="00695785"/>
    <w:rsid w:val="00697332"/>
    <w:rsid w:val="006A69F3"/>
    <w:rsid w:val="006B12AA"/>
    <w:rsid w:val="006B3858"/>
    <w:rsid w:val="006B53FB"/>
    <w:rsid w:val="006B5B10"/>
    <w:rsid w:val="006B73CB"/>
    <w:rsid w:val="006C01FD"/>
    <w:rsid w:val="006C12A3"/>
    <w:rsid w:val="006C21BD"/>
    <w:rsid w:val="006C2E4D"/>
    <w:rsid w:val="006C4BB2"/>
    <w:rsid w:val="006C5AEF"/>
    <w:rsid w:val="006C6E54"/>
    <w:rsid w:val="006C7AD2"/>
    <w:rsid w:val="006D0444"/>
    <w:rsid w:val="006D2F8E"/>
    <w:rsid w:val="006D3B42"/>
    <w:rsid w:val="006D447D"/>
    <w:rsid w:val="006D527B"/>
    <w:rsid w:val="006E0450"/>
    <w:rsid w:val="006E10FA"/>
    <w:rsid w:val="006E1AA4"/>
    <w:rsid w:val="006E2E50"/>
    <w:rsid w:val="006E4BA9"/>
    <w:rsid w:val="006E61BE"/>
    <w:rsid w:val="006E7DD4"/>
    <w:rsid w:val="006E7F04"/>
    <w:rsid w:val="006F34F1"/>
    <w:rsid w:val="006F3E8C"/>
    <w:rsid w:val="006F5909"/>
    <w:rsid w:val="006F5EBB"/>
    <w:rsid w:val="006F7CB9"/>
    <w:rsid w:val="00700530"/>
    <w:rsid w:val="0070359D"/>
    <w:rsid w:val="00703A3B"/>
    <w:rsid w:val="0070473D"/>
    <w:rsid w:val="00707B55"/>
    <w:rsid w:val="0071007E"/>
    <w:rsid w:val="0071077B"/>
    <w:rsid w:val="00710B3F"/>
    <w:rsid w:val="00712929"/>
    <w:rsid w:val="007134EB"/>
    <w:rsid w:val="0071733C"/>
    <w:rsid w:val="007221E1"/>
    <w:rsid w:val="00725479"/>
    <w:rsid w:val="0073082E"/>
    <w:rsid w:val="00734AE0"/>
    <w:rsid w:val="0073725A"/>
    <w:rsid w:val="0074243C"/>
    <w:rsid w:val="00746082"/>
    <w:rsid w:val="00752B46"/>
    <w:rsid w:val="00752E3D"/>
    <w:rsid w:val="007541D8"/>
    <w:rsid w:val="007559D6"/>
    <w:rsid w:val="00756E41"/>
    <w:rsid w:val="00757A39"/>
    <w:rsid w:val="00760C45"/>
    <w:rsid w:val="00761B8B"/>
    <w:rsid w:val="00763809"/>
    <w:rsid w:val="00772973"/>
    <w:rsid w:val="007764E3"/>
    <w:rsid w:val="007764EE"/>
    <w:rsid w:val="0077652D"/>
    <w:rsid w:val="007810C0"/>
    <w:rsid w:val="0078240E"/>
    <w:rsid w:val="00784429"/>
    <w:rsid w:val="007858F8"/>
    <w:rsid w:val="00786245"/>
    <w:rsid w:val="0078785A"/>
    <w:rsid w:val="00787FF6"/>
    <w:rsid w:val="0079160B"/>
    <w:rsid w:val="00794CA0"/>
    <w:rsid w:val="00795E61"/>
    <w:rsid w:val="00796967"/>
    <w:rsid w:val="007971E7"/>
    <w:rsid w:val="00797574"/>
    <w:rsid w:val="00797AD3"/>
    <w:rsid w:val="007A48C7"/>
    <w:rsid w:val="007A69D8"/>
    <w:rsid w:val="007B0144"/>
    <w:rsid w:val="007B44E1"/>
    <w:rsid w:val="007B48A1"/>
    <w:rsid w:val="007B51D0"/>
    <w:rsid w:val="007B59D7"/>
    <w:rsid w:val="007B7853"/>
    <w:rsid w:val="007C25EB"/>
    <w:rsid w:val="007C2C8E"/>
    <w:rsid w:val="007C4C35"/>
    <w:rsid w:val="007C5097"/>
    <w:rsid w:val="007C67E0"/>
    <w:rsid w:val="007C7964"/>
    <w:rsid w:val="007D21CE"/>
    <w:rsid w:val="007D2D2A"/>
    <w:rsid w:val="007D38CC"/>
    <w:rsid w:val="007D572B"/>
    <w:rsid w:val="007D5FA8"/>
    <w:rsid w:val="007D79A1"/>
    <w:rsid w:val="007E0D38"/>
    <w:rsid w:val="007E2BFD"/>
    <w:rsid w:val="007E32C0"/>
    <w:rsid w:val="007E543E"/>
    <w:rsid w:val="007E6461"/>
    <w:rsid w:val="007F32B8"/>
    <w:rsid w:val="007F3B0A"/>
    <w:rsid w:val="007F542D"/>
    <w:rsid w:val="007F6BA9"/>
    <w:rsid w:val="007F7F26"/>
    <w:rsid w:val="00801C7A"/>
    <w:rsid w:val="00801D61"/>
    <w:rsid w:val="00803C71"/>
    <w:rsid w:val="00803C81"/>
    <w:rsid w:val="00816D73"/>
    <w:rsid w:val="00816FA7"/>
    <w:rsid w:val="00820E00"/>
    <w:rsid w:val="0082360E"/>
    <w:rsid w:val="008344A6"/>
    <w:rsid w:val="00836A42"/>
    <w:rsid w:val="00836E7B"/>
    <w:rsid w:val="0083723C"/>
    <w:rsid w:val="0084006D"/>
    <w:rsid w:val="0084348A"/>
    <w:rsid w:val="00846032"/>
    <w:rsid w:val="00854C64"/>
    <w:rsid w:val="00856797"/>
    <w:rsid w:val="00856A2D"/>
    <w:rsid w:val="00861FB5"/>
    <w:rsid w:val="00863B01"/>
    <w:rsid w:val="00863C31"/>
    <w:rsid w:val="00863D6E"/>
    <w:rsid w:val="00864E20"/>
    <w:rsid w:val="00870C05"/>
    <w:rsid w:val="00871E27"/>
    <w:rsid w:val="0087454B"/>
    <w:rsid w:val="00876562"/>
    <w:rsid w:val="0088416F"/>
    <w:rsid w:val="0088561F"/>
    <w:rsid w:val="00886697"/>
    <w:rsid w:val="00895755"/>
    <w:rsid w:val="008A134C"/>
    <w:rsid w:val="008A1702"/>
    <w:rsid w:val="008A22CA"/>
    <w:rsid w:val="008A7861"/>
    <w:rsid w:val="008B00E4"/>
    <w:rsid w:val="008B0DAE"/>
    <w:rsid w:val="008B5F71"/>
    <w:rsid w:val="008B73E0"/>
    <w:rsid w:val="008C0058"/>
    <w:rsid w:val="008C0860"/>
    <w:rsid w:val="008C7707"/>
    <w:rsid w:val="008C7E57"/>
    <w:rsid w:val="008D264E"/>
    <w:rsid w:val="008D387B"/>
    <w:rsid w:val="008D4430"/>
    <w:rsid w:val="008D58D9"/>
    <w:rsid w:val="008D72C5"/>
    <w:rsid w:val="008E02E7"/>
    <w:rsid w:val="008E04E0"/>
    <w:rsid w:val="008E0D50"/>
    <w:rsid w:val="008E0F8B"/>
    <w:rsid w:val="008E1F11"/>
    <w:rsid w:val="008E2DB1"/>
    <w:rsid w:val="008E3A06"/>
    <w:rsid w:val="008E5627"/>
    <w:rsid w:val="008F166E"/>
    <w:rsid w:val="008F4D9E"/>
    <w:rsid w:val="008F5520"/>
    <w:rsid w:val="008F6924"/>
    <w:rsid w:val="009026B1"/>
    <w:rsid w:val="00903137"/>
    <w:rsid w:val="00904CF0"/>
    <w:rsid w:val="00905BD4"/>
    <w:rsid w:val="00911199"/>
    <w:rsid w:val="00913FD4"/>
    <w:rsid w:val="0091409C"/>
    <w:rsid w:val="009145C4"/>
    <w:rsid w:val="0092282D"/>
    <w:rsid w:val="00922E81"/>
    <w:rsid w:val="00925A0F"/>
    <w:rsid w:val="009279A4"/>
    <w:rsid w:val="00931229"/>
    <w:rsid w:val="00940640"/>
    <w:rsid w:val="0094078A"/>
    <w:rsid w:val="009529A7"/>
    <w:rsid w:val="00956D41"/>
    <w:rsid w:val="00960922"/>
    <w:rsid w:val="009657F2"/>
    <w:rsid w:val="00965F9E"/>
    <w:rsid w:val="00971BEA"/>
    <w:rsid w:val="00975170"/>
    <w:rsid w:val="00977245"/>
    <w:rsid w:val="00991194"/>
    <w:rsid w:val="00994BD3"/>
    <w:rsid w:val="00995EF9"/>
    <w:rsid w:val="00997EB0"/>
    <w:rsid w:val="009A1225"/>
    <w:rsid w:val="009A3091"/>
    <w:rsid w:val="009A30C4"/>
    <w:rsid w:val="009A3A31"/>
    <w:rsid w:val="009A3F4F"/>
    <w:rsid w:val="009A6D08"/>
    <w:rsid w:val="009A73C7"/>
    <w:rsid w:val="009B01DD"/>
    <w:rsid w:val="009B1D7F"/>
    <w:rsid w:val="009B39DE"/>
    <w:rsid w:val="009B460F"/>
    <w:rsid w:val="009B4AF6"/>
    <w:rsid w:val="009B51E1"/>
    <w:rsid w:val="009B7032"/>
    <w:rsid w:val="009C0695"/>
    <w:rsid w:val="009C79CA"/>
    <w:rsid w:val="009C7DDC"/>
    <w:rsid w:val="009D00CE"/>
    <w:rsid w:val="009D17B2"/>
    <w:rsid w:val="009D7E7B"/>
    <w:rsid w:val="009E0D15"/>
    <w:rsid w:val="009E1BBE"/>
    <w:rsid w:val="009E4B04"/>
    <w:rsid w:val="009E6AA2"/>
    <w:rsid w:val="009F1403"/>
    <w:rsid w:val="009F5DAE"/>
    <w:rsid w:val="00A013CB"/>
    <w:rsid w:val="00A01BEA"/>
    <w:rsid w:val="00A05B9A"/>
    <w:rsid w:val="00A06E74"/>
    <w:rsid w:val="00A07E5E"/>
    <w:rsid w:val="00A10130"/>
    <w:rsid w:val="00A141BF"/>
    <w:rsid w:val="00A157DF"/>
    <w:rsid w:val="00A26875"/>
    <w:rsid w:val="00A27599"/>
    <w:rsid w:val="00A31830"/>
    <w:rsid w:val="00A33A77"/>
    <w:rsid w:val="00A341BC"/>
    <w:rsid w:val="00A37959"/>
    <w:rsid w:val="00A409FF"/>
    <w:rsid w:val="00A41310"/>
    <w:rsid w:val="00A431E6"/>
    <w:rsid w:val="00A432F9"/>
    <w:rsid w:val="00A46116"/>
    <w:rsid w:val="00A5561C"/>
    <w:rsid w:val="00A63C5A"/>
    <w:rsid w:val="00A63C73"/>
    <w:rsid w:val="00A64039"/>
    <w:rsid w:val="00A67D7F"/>
    <w:rsid w:val="00A704FE"/>
    <w:rsid w:val="00A71BF4"/>
    <w:rsid w:val="00A71E0D"/>
    <w:rsid w:val="00A7205A"/>
    <w:rsid w:val="00A722FE"/>
    <w:rsid w:val="00A7241E"/>
    <w:rsid w:val="00A73098"/>
    <w:rsid w:val="00A73F46"/>
    <w:rsid w:val="00A746A2"/>
    <w:rsid w:val="00A74758"/>
    <w:rsid w:val="00A75F86"/>
    <w:rsid w:val="00A77730"/>
    <w:rsid w:val="00A80A96"/>
    <w:rsid w:val="00A80ACD"/>
    <w:rsid w:val="00A81FA4"/>
    <w:rsid w:val="00A82494"/>
    <w:rsid w:val="00A84987"/>
    <w:rsid w:val="00A91AB9"/>
    <w:rsid w:val="00A97010"/>
    <w:rsid w:val="00A97A0F"/>
    <w:rsid w:val="00A97FB7"/>
    <w:rsid w:val="00AA0A3A"/>
    <w:rsid w:val="00AA7191"/>
    <w:rsid w:val="00AA7CFA"/>
    <w:rsid w:val="00AB03ED"/>
    <w:rsid w:val="00AB04AF"/>
    <w:rsid w:val="00AB17D1"/>
    <w:rsid w:val="00AB6A9F"/>
    <w:rsid w:val="00AC0992"/>
    <w:rsid w:val="00AC31D4"/>
    <w:rsid w:val="00AC3FD7"/>
    <w:rsid w:val="00AC4AFB"/>
    <w:rsid w:val="00AC6185"/>
    <w:rsid w:val="00AD42C5"/>
    <w:rsid w:val="00AD4603"/>
    <w:rsid w:val="00AD54C4"/>
    <w:rsid w:val="00AD5E19"/>
    <w:rsid w:val="00AE02FF"/>
    <w:rsid w:val="00AE0D36"/>
    <w:rsid w:val="00AE79A6"/>
    <w:rsid w:val="00AF0E56"/>
    <w:rsid w:val="00AF233A"/>
    <w:rsid w:val="00AF48C1"/>
    <w:rsid w:val="00AF5907"/>
    <w:rsid w:val="00AF703B"/>
    <w:rsid w:val="00AF70EC"/>
    <w:rsid w:val="00B04015"/>
    <w:rsid w:val="00B05AE8"/>
    <w:rsid w:val="00B119AB"/>
    <w:rsid w:val="00B11DA1"/>
    <w:rsid w:val="00B13EAA"/>
    <w:rsid w:val="00B17544"/>
    <w:rsid w:val="00B2070F"/>
    <w:rsid w:val="00B2146D"/>
    <w:rsid w:val="00B21685"/>
    <w:rsid w:val="00B25AC5"/>
    <w:rsid w:val="00B30807"/>
    <w:rsid w:val="00B31D2E"/>
    <w:rsid w:val="00B33663"/>
    <w:rsid w:val="00B3374D"/>
    <w:rsid w:val="00B33DF3"/>
    <w:rsid w:val="00B34EBC"/>
    <w:rsid w:val="00B3747B"/>
    <w:rsid w:val="00B37640"/>
    <w:rsid w:val="00B40014"/>
    <w:rsid w:val="00B42F57"/>
    <w:rsid w:val="00B44FBE"/>
    <w:rsid w:val="00B45AD9"/>
    <w:rsid w:val="00B47C56"/>
    <w:rsid w:val="00B514DE"/>
    <w:rsid w:val="00B53413"/>
    <w:rsid w:val="00B5421E"/>
    <w:rsid w:val="00B566AF"/>
    <w:rsid w:val="00B56F6F"/>
    <w:rsid w:val="00B60289"/>
    <w:rsid w:val="00B60FBE"/>
    <w:rsid w:val="00B61D8A"/>
    <w:rsid w:val="00B6305B"/>
    <w:rsid w:val="00B736FC"/>
    <w:rsid w:val="00B740CE"/>
    <w:rsid w:val="00B746F0"/>
    <w:rsid w:val="00B772D9"/>
    <w:rsid w:val="00B80C35"/>
    <w:rsid w:val="00B82D04"/>
    <w:rsid w:val="00B84479"/>
    <w:rsid w:val="00B85B98"/>
    <w:rsid w:val="00B85E29"/>
    <w:rsid w:val="00BA0BBB"/>
    <w:rsid w:val="00BA0FFF"/>
    <w:rsid w:val="00BA4A8A"/>
    <w:rsid w:val="00BB4CCC"/>
    <w:rsid w:val="00BD60C0"/>
    <w:rsid w:val="00BE0588"/>
    <w:rsid w:val="00BE37E3"/>
    <w:rsid w:val="00BE3A93"/>
    <w:rsid w:val="00BE48EC"/>
    <w:rsid w:val="00BE5D93"/>
    <w:rsid w:val="00BE7A9B"/>
    <w:rsid w:val="00BF0E05"/>
    <w:rsid w:val="00BF2599"/>
    <w:rsid w:val="00BF3D34"/>
    <w:rsid w:val="00BF5010"/>
    <w:rsid w:val="00BF58A3"/>
    <w:rsid w:val="00C02AC3"/>
    <w:rsid w:val="00C05258"/>
    <w:rsid w:val="00C1221E"/>
    <w:rsid w:val="00C13629"/>
    <w:rsid w:val="00C15C09"/>
    <w:rsid w:val="00C16613"/>
    <w:rsid w:val="00C20C44"/>
    <w:rsid w:val="00C21B5C"/>
    <w:rsid w:val="00C23195"/>
    <w:rsid w:val="00C23CE0"/>
    <w:rsid w:val="00C24773"/>
    <w:rsid w:val="00C26832"/>
    <w:rsid w:val="00C27C8F"/>
    <w:rsid w:val="00C301D3"/>
    <w:rsid w:val="00C3126F"/>
    <w:rsid w:val="00C33530"/>
    <w:rsid w:val="00C34ECA"/>
    <w:rsid w:val="00C36747"/>
    <w:rsid w:val="00C37B82"/>
    <w:rsid w:val="00C40962"/>
    <w:rsid w:val="00C41447"/>
    <w:rsid w:val="00C430D4"/>
    <w:rsid w:val="00C45A63"/>
    <w:rsid w:val="00C46DC7"/>
    <w:rsid w:val="00C46EED"/>
    <w:rsid w:val="00C55993"/>
    <w:rsid w:val="00C62FEF"/>
    <w:rsid w:val="00C64DF3"/>
    <w:rsid w:val="00C65990"/>
    <w:rsid w:val="00C666CC"/>
    <w:rsid w:val="00C71FF6"/>
    <w:rsid w:val="00C75D60"/>
    <w:rsid w:val="00C76A06"/>
    <w:rsid w:val="00C832C8"/>
    <w:rsid w:val="00C85815"/>
    <w:rsid w:val="00C86415"/>
    <w:rsid w:val="00C87467"/>
    <w:rsid w:val="00C900DF"/>
    <w:rsid w:val="00C90D7D"/>
    <w:rsid w:val="00C90DE2"/>
    <w:rsid w:val="00C91F69"/>
    <w:rsid w:val="00C92845"/>
    <w:rsid w:val="00C940B3"/>
    <w:rsid w:val="00C946F2"/>
    <w:rsid w:val="00C94ED2"/>
    <w:rsid w:val="00C96DF1"/>
    <w:rsid w:val="00CA1F55"/>
    <w:rsid w:val="00CA3EBB"/>
    <w:rsid w:val="00CA4220"/>
    <w:rsid w:val="00CA5E3A"/>
    <w:rsid w:val="00CC02F5"/>
    <w:rsid w:val="00CC1972"/>
    <w:rsid w:val="00CC1A8E"/>
    <w:rsid w:val="00CD61EF"/>
    <w:rsid w:val="00CD66AF"/>
    <w:rsid w:val="00CD73E4"/>
    <w:rsid w:val="00CD747B"/>
    <w:rsid w:val="00CD7B29"/>
    <w:rsid w:val="00CE0069"/>
    <w:rsid w:val="00CE00E6"/>
    <w:rsid w:val="00CE115E"/>
    <w:rsid w:val="00CE1713"/>
    <w:rsid w:val="00CE346C"/>
    <w:rsid w:val="00CE3CA3"/>
    <w:rsid w:val="00CE7EA4"/>
    <w:rsid w:val="00CF2A1F"/>
    <w:rsid w:val="00CF3C32"/>
    <w:rsid w:val="00CF4078"/>
    <w:rsid w:val="00CF45CA"/>
    <w:rsid w:val="00D00F13"/>
    <w:rsid w:val="00D03C8B"/>
    <w:rsid w:val="00D10003"/>
    <w:rsid w:val="00D13F22"/>
    <w:rsid w:val="00D15C13"/>
    <w:rsid w:val="00D17730"/>
    <w:rsid w:val="00D214F9"/>
    <w:rsid w:val="00D23992"/>
    <w:rsid w:val="00D26F07"/>
    <w:rsid w:val="00D31492"/>
    <w:rsid w:val="00D3463D"/>
    <w:rsid w:val="00D36F36"/>
    <w:rsid w:val="00D41499"/>
    <w:rsid w:val="00D42159"/>
    <w:rsid w:val="00D44453"/>
    <w:rsid w:val="00D44FD1"/>
    <w:rsid w:val="00D454C0"/>
    <w:rsid w:val="00D45D4E"/>
    <w:rsid w:val="00D46148"/>
    <w:rsid w:val="00D51E24"/>
    <w:rsid w:val="00D55FDE"/>
    <w:rsid w:val="00D57FB9"/>
    <w:rsid w:val="00D60542"/>
    <w:rsid w:val="00D62CD8"/>
    <w:rsid w:val="00D63524"/>
    <w:rsid w:val="00D64761"/>
    <w:rsid w:val="00D654A3"/>
    <w:rsid w:val="00D71E14"/>
    <w:rsid w:val="00D721C6"/>
    <w:rsid w:val="00D76385"/>
    <w:rsid w:val="00D80FDB"/>
    <w:rsid w:val="00D86319"/>
    <w:rsid w:val="00D86558"/>
    <w:rsid w:val="00D8761E"/>
    <w:rsid w:val="00D9348F"/>
    <w:rsid w:val="00D93C52"/>
    <w:rsid w:val="00D93FBA"/>
    <w:rsid w:val="00DA05C8"/>
    <w:rsid w:val="00DA08DF"/>
    <w:rsid w:val="00DA1E6D"/>
    <w:rsid w:val="00DA2627"/>
    <w:rsid w:val="00DA3812"/>
    <w:rsid w:val="00DA512E"/>
    <w:rsid w:val="00DA5420"/>
    <w:rsid w:val="00DA680D"/>
    <w:rsid w:val="00DB0AD3"/>
    <w:rsid w:val="00DB2E21"/>
    <w:rsid w:val="00DB4C1B"/>
    <w:rsid w:val="00DC562B"/>
    <w:rsid w:val="00DD45DA"/>
    <w:rsid w:val="00DE0360"/>
    <w:rsid w:val="00DE298A"/>
    <w:rsid w:val="00DE394A"/>
    <w:rsid w:val="00DE3B7D"/>
    <w:rsid w:val="00DE46CD"/>
    <w:rsid w:val="00DE6ACC"/>
    <w:rsid w:val="00DF20D7"/>
    <w:rsid w:val="00DF2EA9"/>
    <w:rsid w:val="00DF43A2"/>
    <w:rsid w:val="00DF4DC1"/>
    <w:rsid w:val="00DF6832"/>
    <w:rsid w:val="00E043E8"/>
    <w:rsid w:val="00E048D0"/>
    <w:rsid w:val="00E0539D"/>
    <w:rsid w:val="00E103A0"/>
    <w:rsid w:val="00E107E4"/>
    <w:rsid w:val="00E1135B"/>
    <w:rsid w:val="00E12E63"/>
    <w:rsid w:val="00E135F3"/>
    <w:rsid w:val="00E13759"/>
    <w:rsid w:val="00E24175"/>
    <w:rsid w:val="00E43B51"/>
    <w:rsid w:val="00E449EE"/>
    <w:rsid w:val="00E50779"/>
    <w:rsid w:val="00E50FFE"/>
    <w:rsid w:val="00E60557"/>
    <w:rsid w:val="00E626A3"/>
    <w:rsid w:val="00E65ED6"/>
    <w:rsid w:val="00E6706C"/>
    <w:rsid w:val="00E73CCB"/>
    <w:rsid w:val="00E742DD"/>
    <w:rsid w:val="00E746AC"/>
    <w:rsid w:val="00E74A9A"/>
    <w:rsid w:val="00E778F1"/>
    <w:rsid w:val="00E77F9E"/>
    <w:rsid w:val="00E80636"/>
    <w:rsid w:val="00E80C20"/>
    <w:rsid w:val="00E81C94"/>
    <w:rsid w:val="00E82140"/>
    <w:rsid w:val="00E83F0D"/>
    <w:rsid w:val="00E90A99"/>
    <w:rsid w:val="00E9249F"/>
    <w:rsid w:val="00E93EB6"/>
    <w:rsid w:val="00E96977"/>
    <w:rsid w:val="00E977D3"/>
    <w:rsid w:val="00E97A96"/>
    <w:rsid w:val="00E97BD0"/>
    <w:rsid w:val="00E97C13"/>
    <w:rsid w:val="00E97CFD"/>
    <w:rsid w:val="00EA60A8"/>
    <w:rsid w:val="00EA770D"/>
    <w:rsid w:val="00EB0438"/>
    <w:rsid w:val="00EB14FB"/>
    <w:rsid w:val="00EB1852"/>
    <w:rsid w:val="00EB2760"/>
    <w:rsid w:val="00EB59A7"/>
    <w:rsid w:val="00EB6F65"/>
    <w:rsid w:val="00EC139E"/>
    <w:rsid w:val="00EC2E4E"/>
    <w:rsid w:val="00EC508B"/>
    <w:rsid w:val="00EC736A"/>
    <w:rsid w:val="00ED0894"/>
    <w:rsid w:val="00ED1446"/>
    <w:rsid w:val="00ED2234"/>
    <w:rsid w:val="00ED6D4C"/>
    <w:rsid w:val="00EE175A"/>
    <w:rsid w:val="00EE3BEE"/>
    <w:rsid w:val="00EE4944"/>
    <w:rsid w:val="00EE5F87"/>
    <w:rsid w:val="00EE7080"/>
    <w:rsid w:val="00EE7429"/>
    <w:rsid w:val="00EF2AB9"/>
    <w:rsid w:val="00EF5430"/>
    <w:rsid w:val="00F026B0"/>
    <w:rsid w:val="00F02E5B"/>
    <w:rsid w:val="00F03BDA"/>
    <w:rsid w:val="00F04772"/>
    <w:rsid w:val="00F06831"/>
    <w:rsid w:val="00F1053B"/>
    <w:rsid w:val="00F11441"/>
    <w:rsid w:val="00F1294F"/>
    <w:rsid w:val="00F22170"/>
    <w:rsid w:val="00F229F9"/>
    <w:rsid w:val="00F24570"/>
    <w:rsid w:val="00F31239"/>
    <w:rsid w:val="00F3172B"/>
    <w:rsid w:val="00F333C7"/>
    <w:rsid w:val="00F34E56"/>
    <w:rsid w:val="00F366EB"/>
    <w:rsid w:val="00F36746"/>
    <w:rsid w:val="00F3756F"/>
    <w:rsid w:val="00F37B92"/>
    <w:rsid w:val="00F400A3"/>
    <w:rsid w:val="00F40AD6"/>
    <w:rsid w:val="00F42A75"/>
    <w:rsid w:val="00F46CAB"/>
    <w:rsid w:val="00F47548"/>
    <w:rsid w:val="00F477BD"/>
    <w:rsid w:val="00F5230E"/>
    <w:rsid w:val="00F52DBD"/>
    <w:rsid w:val="00F55335"/>
    <w:rsid w:val="00F563D2"/>
    <w:rsid w:val="00F57BEF"/>
    <w:rsid w:val="00F6139D"/>
    <w:rsid w:val="00F62604"/>
    <w:rsid w:val="00F64737"/>
    <w:rsid w:val="00F65988"/>
    <w:rsid w:val="00F66268"/>
    <w:rsid w:val="00F70F91"/>
    <w:rsid w:val="00F723A4"/>
    <w:rsid w:val="00F72B6A"/>
    <w:rsid w:val="00F72BAE"/>
    <w:rsid w:val="00F730DF"/>
    <w:rsid w:val="00F74860"/>
    <w:rsid w:val="00F7654D"/>
    <w:rsid w:val="00F80B97"/>
    <w:rsid w:val="00F817CB"/>
    <w:rsid w:val="00F835EA"/>
    <w:rsid w:val="00F83623"/>
    <w:rsid w:val="00F83FC0"/>
    <w:rsid w:val="00F93121"/>
    <w:rsid w:val="00F94E3C"/>
    <w:rsid w:val="00F95D19"/>
    <w:rsid w:val="00F96489"/>
    <w:rsid w:val="00FA7B8A"/>
    <w:rsid w:val="00FB25EF"/>
    <w:rsid w:val="00FB460E"/>
    <w:rsid w:val="00FB4D5A"/>
    <w:rsid w:val="00FC1855"/>
    <w:rsid w:val="00FC2051"/>
    <w:rsid w:val="00FC480B"/>
    <w:rsid w:val="00FD149D"/>
    <w:rsid w:val="00FD14A2"/>
    <w:rsid w:val="00FD3622"/>
    <w:rsid w:val="00FD55E3"/>
    <w:rsid w:val="00FD5998"/>
    <w:rsid w:val="00FD7D94"/>
    <w:rsid w:val="00FE49CD"/>
    <w:rsid w:val="00FE6443"/>
    <w:rsid w:val="00FE6C05"/>
    <w:rsid w:val="00FF1414"/>
    <w:rsid w:val="00FF1E81"/>
    <w:rsid w:val="00FF7F6A"/>
    <w:rsid w:val="02AF69F7"/>
    <w:rsid w:val="04375579"/>
    <w:rsid w:val="07393350"/>
    <w:rsid w:val="0A6944D9"/>
    <w:rsid w:val="0AFC3494"/>
    <w:rsid w:val="0B2360D1"/>
    <w:rsid w:val="0FAE6D86"/>
    <w:rsid w:val="10BE29F4"/>
    <w:rsid w:val="10FD746D"/>
    <w:rsid w:val="112061A3"/>
    <w:rsid w:val="11D457BB"/>
    <w:rsid w:val="1260093A"/>
    <w:rsid w:val="13CE4D91"/>
    <w:rsid w:val="18DC758A"/>
    <w:rsid w:val="1B775217"/>
    <w:rsid w:val="1D533029"/>
    <w:rsid w:val="215C3E48"/>
    <w:rsid w:val="23122658"/>
    <w:rsid w:val="26635FFD"/>
    <w:rsid w:val="276D26AF"/>
    <w:rsid w:val="29CA5DA6"/>
    <w:rsid w:val="2C2A2B4B"/>
    <w:rsid w:val="2C3004A7"/>
    <w:rsid w:val="2C69284B"/>
    <w:rsid w:val="2C6F0FEB"/>
    <w:rsid w:val="313B18BC"/>
    <w:rsid w:val="321759BB"/>
    <w:rsid w:val="33791F91"/>
    <w:rsid w:val="34FA0A92"/>
    <w:rsid w:val="3582445B"/>
    <w:rsid w:val="37D4258C"/>
    <w:rsid w:val="3A0B1DF7"/>
    <w:rsid w:val="3AAE27DB"/>
    <w:rsid w:val="3CA071AD"/>
    <w:rsid w:val="400206CB"/>
    <w:rsid w:val="413F6529"/>
    <w:rsid w:val="46256620"/>
    <w:rsid w:val="46500363"/>
    <w:rsid w:val="4910375F"/>
    <w:rsid w:val="4CC96361"/>
    <w:rsid w:val="531179F5"/>
    <w:rsid w:val="53BA2288"/>
    <w:rsid w:val="54DC75F2"/>
    <w:rsid w:val="575E42E5"/>
    <w:rsid w:val="58826D65"/>
    <w:rsid w:val="5B1176F7"/>
    <w:rsid w:val="5BFA3F40"/>
    <w:rsid w:val="66E23F26"/>
    <w:rsid w:val="68EE06FC"/>
    <w:rsid w:val="691B3FDE"/>
    <w:rsid w:val="6BE84543"/>
    <w:rsid w:val="6D98425A"/>
    <w:rsid w:val="6FC46EFC"/>
    <w:rsid w:val="6FE1315E"/>
    <w:rsid w:val="7362121F"/>
    <w:rsid w:val="78E861C5"/>
    <w:rsid w:val="7D4D0CC5"/>
    <w:rsid w:val="7DB34F7F"/>
    <w:rsid w:val="7E0B3B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Times New Roman" w:eastAsia="宋体" w:cs="Times New Roman"/>
      <w:sz w:val="34"/>
      <w:lang w:val="en-US" w:eastAsia="zh-CN" w:bidi="ar-SA"/>
    </w:rPr>
  </w:style>
  <w:style w:type="paragraph" w:styleId="2">
    <w:name w:val="heading 1"/>
    <w:basedOn w:val="1"/>
    <w:next w:val="1"/>
    <w:link w:val="60"/>
    <w:autoRedefine/>
    <w:qFormat/>
    <w:uiPriority w:val="9"/>
    <w:pPr>
      <w:spacing w:before="100" w:beforeAutospacing="1" w:after="100" w:afterAutospacing="1"/>
      <w:outlineLvl w:val="0"/>
    </w:pPr>
    <w:rPr>
      <w:rFonts w:hAnsi="宋体" w:cs="宋体"/>
      <w:b/>
      <w:bCs/>
      <w:kern w:val="36"/>
      <w:sz w:val="48"/>
      <w:szCs w:val="48"/>
    </w:rPr>
  </w:style>
  <w:style w:type="paragraph" w:styleId="3">
    <w:name w:val="heading 3"/>
    <w:basedOn w:val="1"/>
    <w:next w:val="1"/>
    <w:link w:val="66"/>
    <w:autoRedefine/>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qFormat/>
    <w:uiPriority w:val="0"/>
  </w:style>
  <w:style w:type="paragraph" w:styleId="5">
    <w:name w:val="Body Text"/>
    <w:basedOn w:val="1"/>
    <w:link w:val="57"/>
    <w:autoRedefine/>
    <w:qFormat/>
    <w:uiPriority w:val="1"/>
    <w:rPr>
      <w:rFonts w:hAnsi="宋体"/>
      <w:sz w:val="19"/>
      <w:szCs w:val="19"/>
      <w:lang w:eastAsia="en-US"/>
    </w:rPr>
  </w:style>
  <w:style w:type="paragraph" w:styleId="6">
    <w:name w:val="Plain Text"/>
    <w:basedOn w:val="1"/>
    <w:autoRedefine/>
    <w:qFormat/>
    <w:uiPriority w:val="0"/>
    <w:rPr>
      <w:rFonts w:hAnsi="Courier New"/>
    </w:rPr>
  </w:style>
  <w:style w:type="paragraph" w:styleId="7">
    <w:name w:val="Date"/>
    <w:basedOn w:val="1"/>
    <w:next w:val="1"/>
    <w:autoRedefine/>
    <w:qFormat/>
    <w:uiPriority w:val="0"/>
    <w:pPr>
      <w:ind w:left="100" w:leftChars="2500"/>
    </w:p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1">
    <w:name w:val="annotation subject"/>
    <w:basedOn w:val="4"/>
    <w:next w:val="4"/>
    <w:autoRedefine/>
    <w:qFormat/>
    <w:uiPriority w:val="0"/>
    <w:rPr>
      <w:b/>
      <w:bCs/>
    </w:rPr>
  </w:style>
  <w:style w:type="table" w:styleId="13">
    <w:name w:val="Table Grid"/>
    <w:basedOn w:val="12"/>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page number"/>
    <w:autoRedefine/>
    <w:qFormat/>
    <w:uiPriority w:val="0"/>
    <w:rPr>
      <w:rFonts w:ascii="Times New Roman" w:hAnsi="Times New Roman" w:eastAsia="宋体"/>
      <w:sz w:val="18"/>
    </w:rPr>
  </w:style>
  <w:style w:type="character" w:styleId="16">
    <w:name w:val="annotation reference"/>
    <w:autoRedefine/>
    <w:qFormat/>
    <w:uiPriority w:val="0"/>
    <w:rPr>
      <w:sz w:val="21"/>
      <w:szCs w:val="21"/>
    </w:rPr>
  </w:style>
  <w:style w:type="character" w:customStyle="1" w:styleId="17">
    <w:name w:val="发布"/>
    <w:autoRedefine/>
    <w:qFormat/>
    <w:uiPriority w:val="0"/>
    <w:rPr>
      <w:rFonts w:ascii="黑体" w:eastAsia="黑体"/>
      <w:spacing w:val="22"/>
      <w:w w:val="100"/>
      <w:position w:val="3"/>
      <w:sz w:val="28"/>
    </w:rPr>
  </w:style>
  <w:style w:type="character" w:customStyle="1" w:styleId="18">
    <w:name w:val="123"/>
    <w:autoRedefine/>
    <w:qFormat/>
    <w:uiPriority w:val="0"/>
    <w:rPr>
      <w:color w:val="000000"/>
      <w:sz w:val="18"/>
      <w:szCs w:val="18"/>
    </w:rPr>
  </w:style>
  <w:style w:type="character" w:customStyle="1" w:styleId="19">
    <w:name w:val="段 Char Char"/>
    <w:link w:val="20"/>
    <w:autoRedefine/>
    <w:qFormat/>
    <w:uiPriority w:val="0"/>
    <w:rPr>
      <w:rFonts w:ascii="宋体"/>
      <w:sz w:val="21"/>
      <w:lang w:val="en-US" w:eastAsia="zh-CN" w:bidi="ar-SA"/>
    </w:rPr>
  </w:style>
  <w:style w:type="paragraph" w:customStyle="1" w:styleId="20">
    <w:name w:val="段"/>
    <w:link w:val="1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1">
    <w:name w:val="二级条标题 Char Char"/>
    <w:link w:val="22"/>
    <w:autoRedefine/>
    <w:qFormat/>
    <w:uiPriority w:val="0"/>
    <w:rPr>
      <w:rFonts w:ascii="黑体" w:eastAsia="黑体"/>
      <w:sz w:val="21"/>
    </w:rPr>
  </w:style>
  <w:style w:type="paragraph" w:customStyle="1" w:styleId="22">
    <w:name w:val="二级条标题"/>
    <w:basedOn w:val="23"/>
    <w:next w:val="20"/>
    <w:link w:val="21"/>
    <w:autoRedefine/>
    <w:qFormat/>
    <w:uiPriority w:val="0"/>
    <w:pPr>
      <w:tabs>
        <w:tab w:val="left" w:pos="720"/>
      </w:tabs>
      <w:ind w:left="0" w:firstLine="0"/>
      <w:outlineLvl w:val="3"/>
    </w:pPr>
  </w:style>
  <w:style w:type="paragraph" w:customStyle="1" w:styleId="23">
    <w:name w:val="一级条标题"/>
    <w:basedOn w:val="24"/>
    <w:next w:val="20"/>
    <w:autoRedefine/>
    <w:qFormat/>
    <w:uiPriority w:val="0"/>
    <w:pPr>
      <w:tabs>
        <w:tab w:val="left" w:pos="720"/>
      </w:tabs>
      <w:spacing w:beforeLines="0" w:afterLines="0"/>
      <w:ind w:left="720" w:hanging="720"/>
      <w:outlineLvl w:val="2"/>
    </w:pPr>
  </w:style>
  <w:style w:type="paragraph" w:customStyle="1" w:styleId="24">
    <w:name w:val="章标题"/>
    <w:next w:val="20"/>
    <w:autoRedefine/>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5">
    <w:name w:val="封面正文"/>
    <w:autoRedefine/>
    <w:qFormat/>
    <w:uiPriority w:val="0"/>
    <w:pPr>
      <w:jc w:val="both"/>
    </w:pPr>
    <w:rPr>
      <w:rFonts w:ascii="Times New Roman" w:hAnsi="Times New Roman" w:eastAsia="宋体" w:cs="Times New Roman"/>
      <w:lang w:val="en-US" w:eastAsia="zh-CN" w:bidi="ar-SA"/>
    </w:rPr>
  </w:style>
  <w:style w:type="paragraph" w:customStyle="1" w:styleId="26">
    <w:name w:val="正文文本缩进1"/>
    <w:basedOn w:val="1"/>
    <w:autoRedefine/>
    <w:qFormat/>
    <w:uiPriority w:val="0"/>
    <w:pPr>
      <w:spacing w:line="360" w:lineRule="auto"/>
      <w:ind w:left="315"/>
    </w:pPr>
    <w:rPr>
      <w:rFonts w:ascii="Times New Roman"/>
      <w:sz w:val="20"/>
    </w:rPr>
  </w:style>
  <w:style w:type="paragraph" w:customStyle="1" w:styleId="27">
    <w:name w:val="三级无标题条"/>
    <w:basedOn w:val="1"/>
    <w:autoRedefine/>
    <w:qFormat/>
    <w:uiPriority w:val="0"/>
    <w:pPr>
      <w:jc w:val="both"/>
    </w:pPr>
    <w:rPr>
      <w:rFonts w:ascii="Times New Roman"/>
      <w:kern w:val="2"/>
      <w:sz w:val="21"/>
      <w:szCs w:val="24"/>
    </w:rPr>
  </w:style>
  <w:style w:type="paragraph" w:customStyle="1" w:styleId="28">
    <w:name w:val="标准标志"/>
    <w:next w:val="1"/>
    <w:autoRedefine/>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9">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30">
    <w:name w:val="其他发布部门"/>
    <w:basedOn w:val="31"/>
    <w:autoRedefine/>
    <w:qFormat/>
    <w:uiPriority w:val="0"/>
    <w:pPr>
      <w:spacing w:line="0" w:lineRule="atLeast"/>
    </w:pPr>
    <w:rPr>
      <w:rFonts w:ascii="黑体" w:eastAsia="黑体"/>
      <w:b w:val="0"/>
    </w:rPr>
  </w:style>
  <w:style w:type="paragraph" w:customStyle="1" w:styleId="31">
    <w:name w:val="发布部门"/>
    <w:next w:val="20"/>
    <w:autoRedefine/>
    <w:qFormat/>
    <w:uiPriority w:val="0"/>
    <w:pPr>
      <w:jc w:val="center"/>
    </w:pPr>
    <w:rPr>
      <w:rFonts w:ascii="宋体" w:hAnsi="Times New Roman" w:eastAsia="宋体" w:cs="Times New Roman"/>
      <w:b/>
      <w:spacing w:val="20"/>
      <w:w w:val="135"/>
      <w:sz w:val="36"/>
      <w:lang w:val="en-US" w:eastAsia="zh-CN" w:bidi="ar-SA"/>
    </w:rPr>
  </w:style>
  <w:style w:type="paragraph" w:customStyle="1" w:styleId="32">
    <w:name w:val="标准书眉_偶数页"/>
    <w:basedOn w:val="33"/>
    <w:next w:val="1"/>
    <w:autoRedefine/>
    <w:qFormat/>
    <w:uiPriority w:val="0"/>
    <w:pPr>
      <w:tabs>
        <w:tab w:val="center" w:pos="4154"/>
        <w:tab w:val="right" w:pos="8306"/>
      </w:tabs>
      <w:jc w:val="left"/>
    </w:pPr>
  </w:style>
  <w:style w:type="paragraph" w:customStyle="1" w:styleId="33">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4">
    <w:name w:val="封面标准号2"/>
    <w:basedOn w:val="35"/>
    <w:autoRedefine/>
    <w:qFormat/>
    <w:uiPriority w:val="0"/>
    <w:pPr>
      <w:adjustRightInd w:val="0"/>
      <w:spacing w:before="357" w:line="280" w:lineRule="exact"/>
    </w:pPr>
  </w:style>
  <w:style w:type="paragraph" w:customStyle="1" w:styleId="3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6">
    <w:name w:val="实施日期"/>
    <w:basedOn w:val="37"/>
    <w:autoRedefine/>
    <w:qFormat/>
    <w:uiPriority w:val="0"/>
    <w:pPr>
      <w:jc w:val="right"/>
    </w:pPr>
  </w:style>
  <w:style w:type="paragraph" w:customStyle="1" w:styleId="37">
    <w:name w:val="发布日期"/>
    <w:autoRedefine/>
    <w:qFormat/>
    <w:uiPriority w:val="0"/>
    <w:rPr>
      <w:rFonts w:ascii="Times New Roman" w:hAnsi="Times New Roman" w:eastAsia="黑体" w:cs="Times New Roman"/>
      <w:sz w:val="28"/>
      <w:lang w:val="en-US" w:eastAsia="zh-CN" w:bidi="ar-SA"/>
    </w:rPr>
  </w:style>
  <w:style w:type="paragraph" w:customStyle="1" w:styleId="38">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9">
    <w:name w:val="四级条标题"/>
    <w:basedOn w:val="40"/>
    <w:next w:val="20"/>
    <w:autoRedefine/>
    <w:qFormat/>
    <w:uiPriority w:val="0"/>
    <w:pPr>
      <w:tabs>
        <w:tab w:val="left" w:pos="360"/>
      </w:tabs>
      <w:outlineLvl w:val="5"/>
    </w:pPr>
  </w:style>
  <w:style w:type="paragraph" w:customStyle="1" w:styleId="40">
    <w:name w:val="三级条标题"/>
    <w:basedOn w:val="22"/>
    <w:next w:val="20"/>
    <w:autoRedefine/>
    <w:qFormat/>
    <w:uiPriority w:val="0"/>
    <w:pPr>
      <w:tabs>
        <w:tab w:val="left" w:pos="360"/>
        <w:tab w:val="clear" w:pos="720"/>
      </w:tabs>
      <w:outlineLvl w:val="4"/>
    </w:pPr>
  </w:style>
  <w:style w:type="paragraph" w:customStyle="1" w:styleId="41">
    <w:name w:val="目次、标准名称标题"/>
    <w:basedOn w:val="42"/>
    <w:next w:val="20"/>
    <w:autoRedefine/>
    <w:qFormat/>
    <w:uiPriority w:val="0"/>
    <w:pPr>
      <w:spacing w:line="460" w:lineRule="exact"/>
    </w:pPr>
  </w:style>
  <w:style w:type="paragraph" w:customStyle="1" w:styleId="42">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3">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标准书眉一"/>
    <w:autoRedefine/>
    <w:qFormat/>
    <w:uiPriority w:val="0"/>
    <w:pPr>
      <w:jc w:val="both"/>
    </w:pPr>
    <w:rPr>
      <w:rFonts w:ascii="Times New Roman" w:hAnsi="Times New Roman" w:eastAsia="宋体" w:cs="Times New Roman"/>
      <w:lang w:val="en-US" w:eastAsia="zh-CN" w:bidi="ar-SA"/>
    </w:rPr>
  </w:style>
  <w:style w:type="paragraph" w:customStyle="1" w:styleId="45">
    <w:name w:val="注："/>
    <w:next w:val="20"/>
    <w:autoRedefine/>
    <w:qFormat/>
    <w:uiPriority w:val="0"/>
    <w:pPr>
      <w:widowControl w:val="0"/>
      <w:tabs>
        <w:tab w:val="left" w:pos="1140"/>
      </w:tabs>
      <w:autoSpaceDE w:val="0"/>
      <w:autoSpaceDN w:val="0"/>
      <w:ind w:left="840" w:hanging="420"/>
      <w:jc w:val="both"/>
    </w:pPr>
    <w:rPr>
      <w:rFonts w:ascii="宋体" w:hAnsi="Times New Roman" w:eastAsia="宋体" w:cs="Times New Roman"/>
      <w:sz w:val="18"/>
      <w:lang w:val="en-US" w:eastAsia="zh-CN" w:bidi="ar-SA"/>
    </w:rPr>
  </w:style>
  <w:style w:type="paragraph" w:customStyle="1" w:styleId="46">
    <w:name w:val="图表脚注"/>
    <w:next w:val="20"/>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47">
    <w:name w:val="二级无标题条"/>
    <w:basedOn w:val="1"/>
    <w:autoRedefine/>
    <w:qFormat/>
    <w:uiPriority w:val="0"/>
  </w:style>
  <w:style w:type="paragraph" w:customStyle="1" w:styleId="4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9">
    <w:name w:val="封面标准代替信息"/>
    <w:basedOn w:val="34"/>
    <w:autoRedefine/>
    <w:qFormat/>
    <w:uiPriority w:val="0"/>
    <w:pPr>
      <w:spacing w:before="57"/>
    </w:pPr>
    <w:rPr>
      <w:rFonts w:ascii="宋体"/>
      <w:sz w:val="21"/>
    </w:rPr>
  </w:style>
  <w:style w:type="paragraph" w:customStyle="1" w:styleId="50">
    <w:name w:val="五级条标题"/>
    <w:basedOn w:val="39"/>
    <w:next w:val="20"/>
    <w:autoRedefine/>
    <w:qFormat/>
    <w:uiPriority w:val="0"/>
    <w:pPr>
      <w:outlineLvl w:val="6"/>
    </w:pPr>
  </w:style>
  <w:style w:type="paragraph" w:customStyle="1" w:styleId="51">
    <w:name w:val="列项·"/>
    <w:autoRedefine/>
    <w:qFormat/>
    <w:uiPriority w:val="0"/>
    <w:pPr>
      <w:tabs>
        <w:tab w:val="left" w:pos="360"/>
        <w:tab w:val="left" w:pos="840"/>
      </w:tabs>
      <w:jc w:val="both"/>
    </w:pPr>
    <w:rPr>
      <w:rFonts w:ascii="宋体" w:hAnsi="Times New Roman" w:eastAsia="宋体" w:cs="Times New Roman"/>
      <w:sz w:val="21"/>
      <w:lang w:val="en-US" w:eastAsia="zh-CN" w:bidi="ar-SA"/>
    </w:rPr>
  </w:style>
  <w:style w:type="paragraph" w:customStyle="1" w:styleId="52">
    <w:name w:val="标准称谓"/>
    <w:next w:val="1"/>
    <w:autoRedefine/>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54">
    <w:name w:val="文献分类号"/>
    <w:autoRedefine/>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55">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5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57">
    <w:name w:val="正文文本 字符"/>
    <w:basedOn w:val="14"/>
    <w:link w:val="5"/>
    <w:autoRedefine/>
    <w:qFormat/>
    <w:uiPriority w:val="1"/>
    <w:rPr>
      <w:rFonts w:ascii="宋体" w:hAnsi="宋体" w:cs="Times New Roman"/>
      <w:sz w:val="19"/>
      <w:szCs w:val="19"/>
      <w:lang w:eastAsia="en-US"/>
    </w:rPr>
  </w:style>
  <w:style w:type="table" w:customStyle="1" w:styleId="58">
    <w:name w:val="Table Normal"/>
    <w:autoRedefine/>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59">
    <w:name w:val="Table Paragraph"/>
    <w:basedOn w:val="1"/>
    <w:autoRedefine/>
    <w:qFormat/>
    <w:uiPriority w:val="1"/>
    <w:rPr>
      <w:rFonts w:ascii="Calibri" w:hAnsi="Calibri"/>
      <w:sz w:val="22"/>
      <w:szCs w:val="22"/>
      <w:lang w:eastAsia="en-US"/>
    </w:rPr>
  </w:style>
  <w:style w:type="character" w:customStyle="1" w:styleId="60">
    <w:name w:val="标题 1 字符"/>
    <w:basedOn w:val="14"/>
    <w:link w:val="2"/>
    <w:autoRedefine/>
    <w:qFormat/>
    <w:uiPriority w:val="9"/>
    <w:rPr>
      <w:rFonts w:ascii="宋体" w:hAnsi="宋体" w:cs="宋体"/>
      <w:b/>
      <w:bCs/>
      <w:kern w:val="36"/>
      <w:sz w:val="48"/>
      <w:szCs w:val="48"/>
    </w:rPr>
  </w:style>
  <w:style w:type="character" w:customStyle="1" w:styleId="61">
    <w:name w:val="标题1"/>
    <w:basedOn w:val="14"/>
    <w:autoRedefine/>
    <w:qFormat/>
    <w:uiPriority w:val="0"/>
  </w:style>
  <w:style w:type="character" w:customStyle="1" w:styleId="62">
    <w:name w:val="占位符文本1"/>
    <w:basedOn w:val="14"/>
    <w:autoRedefine/>
    <w:unhideWhenUsed/>
    <w:qFormat/>
    <w:uiPriority w:val="99"/>
    <w:rPr>
      <w:color w:val="808080"/>
    </w:rPr>
  </w:style>
  <w:style w:type="character" w:styleId="63">
    <w:name w:val="Placeholder Text"/>
    <w:basedOn w:val="14"/>
    <w:autoRedefine/>
    <w:semiHidden/>
    <w:qFormat/>
    <w:uiPriority w:val="99"/>
    <w:rPr>
      <w:color w:val="808080"/>
    </w:rPr>
  </w:style>
  <w:style w:type="paragraph" w:styleId="64">
    <w:name w:val="List Paragraph"/>
    <w:basedOn w:val="1"/>
    <w:autoRedefine/>
    <w:qFormat/>
    <w:uiPriority w:val="99"/>
    <w:pPr>
      <w:ind w:firstLine="420" w:firstLineChars="200"/>
    </w:pPr>
  </w:style>
  <w:style w:type="character" w:customStyle="1" w:styleId="65">
    <w:name w:val="段 Char"/>
    <w:autoRedefine/>
    <w:qFormat/>
    <w:uiPriority w:val="0"/>
    <w:rPr>
      <w:rFonts w:ascii="宋体"/>
      <w:sz w:val="21"/>
      <w:lang w:val="en-US" w:eastAsia="zh-CN" w:bidi="ar-SA"/>
    </w:rPr>
  </w:style>
  <w:style w:type="character" w:customStyle="1" w:styleId="66">
    <w:name w:val="标题 3 字符"/>
    <w:basedOn w:val="14"/>
    <w:link w:val="3"/>
    <w:autoRedefine/>
    <w:semiHidden/>
    <w:qFormat/>
    <w:uiPriority w:val="9"/>
    <w:rPr>
      <w:rFonts w:ascii="宋体"/>
      <w:b/>
      <w:bCs/>
      <w:sz w:val="32"/>
      <w:szCs w:val="32"/>
    </w:rPr>
  </w:style>
  <w:style w:type="paragraph" w:customStyle="1" w:styleId="67">
    <w:name w:val="修订1"/>
    <w:autoRedefine/>
    <w:hidden/>
    <w:semiHidden/>
    <w:qFormat/>
    <w:uiPriority w:val="99"/>
    <w:rPr>
      <w:rFonts w:ascii="宋体" w:hAnsi="Times New Roman" w:eastAsia="宋体" w:cs="Times New Roman"/>
      <w:sz w:val="34"/>
      <w:lang w:val="en-US" w:eastAsia="zh-CN" w:bidi="ar-SA"/>
    </w:rPr>
  </w:style>
  <w:style w:type="paragraph" w:customStyle="1" w:styleId="68">
    <w:name w:val="封面一致性程度标识"/>
    <w:basedOn w:val="38"/>
    <w:autoRedefine/>
    <w:qFormat/>
    <w:uiPriority w:val="0"/>
    <w:pPr>
      <w:framePr w:w="9639" w:h="6917" w:hRule="exact" w:wrap="around" w:vAnchor="page" w:hAnchor="page" w:xAlign="center" w:y="6408" w:anchorLock="1"/>
      <w:spacing w:before="440"/>
      <w:textAlignment w:val="center"/>
    </w:pPr>
    <w:rPr>
      <w:rFonts w:ascii="宋体"/>
      <w:szCs w:val="28"/>
    </w:rPr>
  </w:style>
  <w:style w:type="paragraph" w:customStyle="1" w:styleId="69">
    <w:name w:val="注：（正文）"/>
    <w:basedOn w:val="45"/>
    <w:next w:val="20"/>
    <w:autoRedefine/>
    <w:qFormat/>
    <w:uiPriority w:val="0"/>
    <w:pPr>
      <w:tabs>
        <w:tab w:val="clear" w:pos="1140"/>
      </w:tabs>
      <w:ind w:left="420"/>
    </w:pPr>
    <w:rPr>
      <w:szCs w:val="18"/>
    </w:rPr>
  </w:style>
  <w:style w:type="paragraph" w:customStyle="1" w:styleId="70">
    <w:name w:val="附录标识"/>
    <w:basedOn w:val="1"/>
    <w:next w:val="20"/>
    <w:autoRedefine/>
    <w:qFormat/>
    <w:uiPriority w:val="0"/>
    <w:pPr>
      <w:keepNext/>
      <w:shd w:val="clear" w:color="FFFFFF" w:fill="FFFFFF"/>
      <w:tabs>
        <w:tab w:val="left" w:pos="360"/>
        <w:tab w:val="left" w:pos="6405"/>
      </w:tabs>
      <w:spacing w:before="640" w:after="280"/>
      <w:ind w:left="860" w:hanging="420"/>
      <w:jc w:val="center"/>
      <w:outlineLvl w:val="0"/>
    </w:pPr>
    <w:rPr>
      <w:rFonts w:ascii="黑体" w:eastAsia="黑体"/>
      <w:sz w:val="21"/>
    </w:rPr>
  </w:style>
  <w:style w:type="paragraph" w:customStyle="1" w:styleId="71">
    <w:name w:val="正文公式编号制表符"/>
    <w:basedOn w:val="20"/>
    <w:next w:val="20"/>
    <w:autoRedefine/>
    <w:qFormat/>
    <w:uiPriority w:val="0"/>
    <w:pPr>
      <w:tabs>
        <w:tab w:val="center" w:pos="4201"/>
        <w:tab w:val="right" w:leader="dot" w:pos="9298"/>
      </w:tabs>
      <w:ind w:firstLine="0" w:firstLineChars="0"/>
    </w:pPr>
  </w:style>
  <w:style w:type="paragraph" w:customStyle="1" w:styleId="72">
    <w:name w:val="附录表标号"/>
    <w:basedOn w:val="1"/>
    <w:next w:val="20"/>
    <w:autoRedefine/>
    <w:qFormat/>
    <w:uiPriority w:val="0"/>
    <w:pPr>
      <w:widowControl w:val="0"/>
      <w:tabs>
        <w:tab w:val="left" w:pos="0"/>
      </w:tabs>
      <w:spacing w:line="14" w:lineRule="exact"/>
      <w:ind w:left="1260" w:hanging="420"/>
      <w:jc w:val="center"/>
      <w:outlineLvl w:val="0"/>
    </w:pPr>
    <w:rPr>
      <w:rFonts w:ascii="Times New Roman"/>
      <w:color w:val="FFFFFF"/>
      <w:kern w:val="2"/>
      <w:sz w:val="21"/>
      <w:szCs w:val="24"/>
    </w:rPr>
  </w:style>
  <w:style w:type="paragraph" w:customStyle="1" w:styleId="73">
    <w:name w:val="附录图标号"/>
    <w:basedOn w:val="1"/>
    <w:autoRedefine/>
    <w:qFormat/>
    <w:uiPriority w:val="0"/>
    <w:pPr>
      <w:keepNext/>
      <w:pageBreakBefore/>
      <w:spacing w:line="14" w:lineRule="exact"/>
      <w:ind w:firstLine="363"/>
      <w:jc w:val="center"/>
      <w:outlineLvl w:val="0"/>
    </w:pPr>
    <w:rPr>
      <w:rFonts w:ascii="Times New Roman"/>
      <w:color w:val="FFFFFF"/>
      <w:kern w:val="2"/>
      <w:sz w:val="21"/>
      <w:szCs w:val="24"/>
    </w:rPr>
  </w:style>
  <w:style w:type="paragraph" w:customStyle="1" w:styleId="74">
    <w:name w:val="附录表标题"/>
    <w:basedOn w:val="1"/>
    <w:next w:val="20"/>
    <w:autoRedefine/>
    <w:qFormat/>
    <w:uiPriority w:val="0"/>
    <w:pPr>
      <w:widowControl w:val="0"/>
      <w:spacing w:beforeLines="50" w:afterLines="50"/>
      <w:ind w:left="1680" w:hanging="420"/>
      <w:jc w:val="center"/>
    </w:pPr>
    <w:rPr>
      <w:rFonts w:ascii="黑体" w:eastAsia="黑体"/>
      <w:kern w:val="2"/>
      <w:sz w:val="21"/>
      <w:szCs w:val="21"/>
    </w:rPr>
  </w:style>
  <w:style w:type="paragraph" w:customStyle="1" w:styleId="75">
    <w:name w:val="注×：（正文）"/>
    <w:autoRedefine/>
    <w:qFormat/>
    <w:uiPriority w:val="0"/>
    <w:pPr>
      <w:ind w:left="862" w:hanging="420"/>
      <w:jc w:val="both"/>
    </w:pPr>
    <w:rPr>
      <w:rFonts w:ascii="宋体" w:hAnsi="Times New Roman" w:eastAsia="宋体" w:cs="Times New Roman"/>
      <w:sz w:val="18"/>
      <w:szCs w:val="18"/>
      <w:lang w:val="en-US" w:eastAsia="zh-CN" w:bidi="ar-SA"/>
    </w:rPr>
  </w:style>
  <w:style w:type="paragraph" w:customStyle="1" w:styleId="76">
    <w:name w:val="正文表标题"/>
    <w:next w:val="20"/>
    <w:autoRedefine/>
    <w:qFormat/>
    <w:uiPriority w:val="0"/>
    <w:pPr>
      <w:spacing w:beforeLines="50" w:afterLines="50"/>
      <w:ind w:left="420" w:hanging="420"/>
      <w:jc w:val="center"/>
    </w:pPr>
    <w:rPr>
      <w:rFonts w:ascii="黑体" w:hAnsi="Times New Roman" w:eastAsia="黑体" w:cs="Times New Roman"/>
      <w:sz w:val="21"/>
      <w:lang w:val="en-US" w:eastAsia="zh-CN" w:bidi="ar-SA"/>
    </w:rPr>
  </w:style>
  <w:style w:type="paragraph" w:customStyle="1" w:styleId="77">
    <w:name w:val="字母编号列项（一级）"/>
    <w:autoRedefine/>
    <w:qFormat/>
    <w:uiPriority w:val="0"/>
    <w:pPr>
      <w:tabs>
        <w:tab w:val="left" w:pos="840"/>
      </w:tabs>
      <w:ind w:left="860" w:hanging="420"/>
      <w:jc w:val="both"/>
    </w:pPr>
    <w:rPr>
      <w:rFonts w:ascii="宋体" w:hAnsi="Times New Roman" w:eastAsia="宋体" w:cs="Times New Roman"/>
      <w:sz w:val="21"/>
      <w:lang w:val="en-US" w:eastAsia="zh-CN" w:bidi="ar-SA"/>
    </w:rPr>
  </w:style>
  <w:style w:type="paragraph" w:customStyle="1" w:styleId="78">
    <w:name w:val="Revision"/>
    <w:autoRedefine/>
    <w:hidden/>
    <w:semiHidden/>
    <w:qFormat/>
    <w:uiPriority w:val="99"/>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61D8B5-9313-4AC5-A9F5-E9D17C9BFB62}">
  <ds:schemaRefs/>
</ds:datastoreItem>
</file>

<file path=docProps/app.xml><?xml version="1.0" encoding="utf-8"?>
<Properties xmlns="http://schemas.openxmlformats.org/officeDocument/2006/extended-properties" xmlns:vt="http://schemas.openxmlformats.org/officeDocument/2006/docPropsVTypes">
  <Template>Normal.dotm</Template>
  <Company>ridci</Company>
  <Pages>8</Pages>
  <Words>548</Words>
  <Characters>3125</Characters>
  <Lines>26</Lines>
  <Paragraphs>7</Paragraphs>
  <TotalTime>0</TotalTime>
  <ScaleCrop>false</ScaleCrop>
  <LinksUpToDate>false</LinksUpToDate>
  <CharactersWithSpaces>3666</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2023-07-24T12:07:00Z</dcterms:created>
  <dc:creator>jiang</dc:creator>
  <cp:lastModifiedBy>Administrator</cp:lastModifiedBy>
  <cp:lastPrinted>2021-11-02T07:22:00Z</cp:lastPrinted>
  <dcterms:modified xsi:type="dcterms:W3CDTF">2024-05-15T07:04:25Z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ACEE10C3D9DB49D0AD36CB32CA8DC00B_13</vt:lpwstr>
  </property>
</Properties>
</file>